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DC" w:rsidRPr="007C5FA9" w:rsidRDefault="00B365A0" w:rsidP="00BE05DC">
      <w:pPr>
        <w:pStyle w:val="Nagwek1"/>
        <w:jc w:val="center"/>
        <w:rPr>
          <w:color w:val="auto"/>
          <w:lang w:val="uk-UA"/>
        </w:rPr>
      </w:pPr>
      <w:bookmarkStart w:id="0" w:name="_GoBack"/>
      <w:bookmarkEnd w:id="0"/>
      <w:r w:rsidRPr="007C5FA9">
        <w:rPr>
          <w:color w:val="auto"/>
          <w:lang w:val="uk-UA"/>
        </w:rPr>
        <w:t>Зразок договору між бенефіціаром та аудитором</w:t>
      </w:r>
    </w:p>
    <w:p w:rsidR="00BE05DC" w:rsidRPr="007C5FA9" w:rsidRDefault="00BE05DC" w:rsidP="00BE05DC">
      <w:pPr>
        <w:pStyle w:val="Nagwek3"/>
        <w:jc w:val="both"/>
        <w:rPr>
          <w:b/>
          <w:color w:val="auto"/>
          <w:sz w:val="20"/>
          <w:szCs w:val="20"/>
          <w:lang w:val="uk-UA"/>
        </w:rPr>
      </w:pPr>
      <w:bookmarkStart w:id="1" w:name="_Toc445883444"/>
    </w:p>
    <w:p w:rsidR="00BE05DC" w:rsidRPr="007C5FA9" w:rsidRDefault="00B365A0" w:rsidP="00BE05DC">
      <w:pPr>
        <w:pStyle w:val="Nagwek3"/>
        <w:jc w:val="center"/>
        <w:rPr>
          <w:color w:val="auto"/>
          <w:lang w:val="uk-UA"/>
        </w:rPr>
      </w:pPr>
      <w:r w:rsidRPr="007C5FA9">
        <w:rPr>
          <w:color w:val="auto"/>
          <w:lang w:val="uk-UA"/>
        </w:rPr>
        <w:t xml:space="preserve">ДОГОВІР ПРО ПЕРЕВІРКУ ВИТРАТ </w:t>
      </w:r>
      <w:r w:rsidR="00BE05DC" w:rsidRPr="007C5FA9">
        <w:rPr>
          <w:color w:val="auto"/>
          <w:lang w:val="uk-UA"/>
        </w:rPr>
        <w:br/>
      </w:r>
      <w:r w:rsidRPr="007C5FA9">
        <w:rPr>
          <w:color w:val="auto"/>
          <w:lang w:val="uk-UA"/>
        </w:rPr>
        <w:t xml:space="preserve">Грантового договору </w:t>
      </w:r>
      <w:r w:rsidR="00BE05DC" w:rsidRPr="007C5FA9">
        <w:rPr>
          <w:color w:val="auto"/>
          <w:lang w:val="uk-UA"/>
        </w:rPr>
        <w:t>[</w:t>
      </w:r>
      <w:r w:rsidRPr="007C5FA9">
        <w:rPr>
          <w:color w:val="auto"/>
          <w:lang w:val="uk-UA"/>
        </w:rPr>
        <w:t>Назва та номер Грантового договору</w:t>
      </w:r>
      <w:r w:rsidR="00BE05DC" w:rsidRPr="007C5FA9">
        <w:rPr>
          <w:color w:val="auto"/>
          <w:lang w:val="uk-UA"/>
        </w:rPr>
        <w:t>]</w:t>
      </w:r>
      <w:r w:rsidR="00BE05DC" w:rsidRPr="007C5FA9">
        <w:rPr>
          <w:color w:val="auto"/>
          <w:lang w:val="uk-UA"/>
        </w:rPr>
        <w:br/>
      </w:r>
      <w:r w:rsidRPr="007C5FA9">
        <w:rPr>
          <w:color w:val="auto"/>
          <w:lang w:val="uk-UA"/>
        </w:rPr>
        <w:t xml:space="preserve">в рамках Програми транскордонного співробітництва ЄІС </w:t>
      </w:r>
      <w:r w:rsidRPr="007C5FA9">
        <w:rPr>
          <w:color w:val="auto"/>
          <w:lang w:val="uk-UA"/>
        </w:rPr>
        <w:br/>
        <w:t>Польща-Білорусь-Україна</w:t>
      </w:r>
      <w:r w:rsidR="00BE05DC" w:rsidRPr="007C5FA9">
        <w:rPr>
          <w:color w:val="auto"/>
          <w:lang w:val="uk-UA"/>
        </w:rPr>
        <w:t xml:space="preserve"> 2014-2020</w:t>
      </w:r>
    </w:p>
    <w:p w:rsidR="00BE05DC" w:rsidRPr="007C5FA9" w:rsidRDefault="00BE05DC" w:rsidP="00BE05DC">
      <w:pPr>
        <w:pStyle w:val="Nagwek3"/>
        <w:jc w:val="center"/>
        <w:rPr>
          <w:color w:val="auto"/>
          <w:lang w:val="uk-UA"/>
        </w:rPr>
      </w:pPr>
    </w:p>
    <w:p w:rsidR="00BE05DC" w:rsidRPr="007C5FA9" w:rsidRDefault="00BE05DC" w:rsidP="00BE05DC">
      <w:pPr>
        <w:pStyle w:val="Nagwek3"/>
        <w:jc w:val="center"/>
        <w:rPr>
          <w:color w:val="auto"/>
          <w:lang w:val="uk-UA"/>
        </w:rPr>
      </w:pPr>
    </w:p>
    <w:p w:rsidR="00BE05DC" w:rsidRPr="007C5FA9" w:rsidRDefault="00BE05DC" w:rsidP="00BE05DC">
      <w:pPr>
        <w:rPr>
          <w:lang w:val="uk-UA"/>
        </w:rPr>
      </w:pPr>
    </w:p>
    <w:p w:rsidR="00BE05DC" w:rsidRPr="007C5FA9" w:rsidRDefault="00BE05DC" w:rsidP="00BE05DC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&lt;</w:t>
      </w:r>
      <w:r w:rsidR="00E00BF6" w:rsidRPr="007C5FA9">
        <w:rPr>
          <w:sz w:val="22"/>
          <w:szCs w:val="22"/>
          <w:lang w:val="uk-UA"/>
        </w:rPr>
        <w:t>Повна назва бенефіціара</w:t>
      </w:r>
      <w:r w:rsidRPr="007C5FA9">
        <w:rPr>
          <w:sz w:val="22"/>
          <w:szCs w:val="22"/>
          <w:lang w:val="uk-UA"/>
        </w:rPr>
        <w:t xml:space="preserve">&gt; </w:t>
      </w:r>
    </w:p>
    <w:p w:rsidR="00BE05DC" w:rsidRPr="007C5FA9" w:rsidRDefault="00BE05DC" w:rsidP="00BE05DC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[&lt;</w:t>
      </w:r>
      <w:r w:rsidR="00E00BF6" w:rsidRPr="007C5FA9">
        <w:rPr>
          <w:sz w:val="22"/>
          <w:szCs w:val="22"/>
          <w:lang w:val="uk-UA"/>
        </w:rPr>
        <w:t>Код ЄДРПОУ</w:t>
      </w:r>
      <w:r w:rsidRPr="007C5FA9">
        <w:rPr>
          <w:sz w:val="22"/>
          <w:szCs w:val="22"/>
          <w:lang w:val="uk-UA"/>
        </w:rPr>
        <w:t>&gt;]</w:t>
      </w:r>
    </w:p>
    <w:p w:rsidR="00BE05DC" w:rsidRPr="007C5FA9" w:rsidRDefault="00BE05DC" w:rsidP="00BE05DC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&lt;</w:t>
      </w:r>
      <w:r w:rsidR="00E00BF6" w:rsidRPr="007C5FA9">
        <w:rPr>
          <w:sz w:val="22"/>
          <w:szCs w:val="22"/>
          <w:lang w:val="uk-UA"/>
        </w:rPr>
        <w:t>Повна юридична адреса</w:t>
      </w:r>
      <w:r w:rsidRPr="007C5FA9">
        <w:rPr>
          <w:sz w:val="22"/>
          <w:szCs w:val="22"/>
          <w:lang w:val="uk-UA"/>
        </w:rPr>
        <w:t>&gt;</w:t>
      </w:r>
    </w:p>
    <w:p w:rsidR="00BE05DC" w:rsidRPr="007C5FA9" w:rsidRDefault="00BE05DC" w:rsidP="00BE05DC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[&lt;</w:t>
      </w:r>
      <w:r w:rsidR="00E00BF6" w:rsidRPr="007C5FA9">
        <w:rPr>
          <w:sz w:val="22"/>
          <w:szCs w:val="22"/>
          <w:lang w:val="uk-UA"/>
        </w:rPr>
        <w:t>Свідоцтво платника ПДВ</w:t>
      </w:r>
      <w:r w:rsidRPr="007C5FA9">
        <w:rPr>
          <w:sz w:val="22"/>
          <w:szCs w:val="22"/>
          <w:lang w:val="uk-UA"/>
        </w:rPr>
        <w:t>&gt;],</w:t>
      </w:r>
    </w:p>
    <w:p w:rsidR="00BE05DC" w:rsidRPr="007C5FA9" w:rsidRDefault="00BE05DC" w:rsidP="00BE05DC">
      <w:pPr>
        <w:rPr>
          <w:sz w:val="22"/>
          <w:szCs w:val="22"/>
          <w:lang w:val="uk-UA"/>
        </w:rPr>
      </w:pPr>
    </w:p>
    <w:p w:rsidR="00BE05DC" w:rsidRPr="007C5FA9" w:rsidRDefault="00BE05DC" w:rsidP="00BE05DC">
      <w:pPr>
        <w:spacing w:after="120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(‘</w:t>
      </w:r>
      <w:r w:rsidR="00E00BF6" w:rsidRPr="007C5FA9">
        <w:rPr>
          <w:sz w:val="22"/>
          <w:szCs w:val="22"/>
          <w:lang w:val="uk-UA"/>
        </w:rPr>
        <w:t>Бенефіціар</w:t>
      </w:r>
      <w:r w:rsidRPr="007C5FA9">
        <w:rPr>
          <w:sz w:val="22"/>
          <w:szCs w:val="22"/>
          <w:lang w:val="uk-UA"/>
        </w:rPr>
        <w:t>’),</w:t>
      </w:r>
    </w:p>
    <w:p w:rsidR="00BE05DC" w:rsidRPr="007C5FA9" w:rsidRDefault="00E00BF6" w:rsidP="00BE05DC">
      <w:pPr>
        <w:spacing w:after="120"/>
        <w:jc w:val="right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з однієї сторони</w:t>
      </w:r>
      <w:r w:rsidR="00BE05DC" w:rsidRPr="007C5FA9">
        <w:rPr>
          <w:sz w:val="22"/>
          <w:szCs w:val="22"/>
          <w:lang w:val="uk-UA"/>
        </w:rPr>
        <w:t>,</w:t>
      </w:r>
    </w:p>
    <w:p w:rsidR="00BE05DC" w:rsidRPr="007C5FA9" w:rsidRDefault="00E00BF6" w:rsidP="00BE05DC">
      <w:pPr>
        <w:spacing w:after="120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та</w:t>
      </w:r>
    </w:p>
    <w:p w:rsidR="00BE05DC" w:rsidRPr="007C5FA9" w:rsidRDefault="00BE05DC" w:rsidP="00BE05DC">
      <w:pPr>
        <w:spacing w:after="120"/>
        <w:rPr>
          <w:sz w:val="22"/>
          <w:szCs w:val="22"/>
          <w:lang w:val="uk-UA"/>
        </w:rPr>
      </w:pPr>
    </w:p>
    <w:p w:rsidR="00BE05DC" w:rsidRPr="007C5FA9" w:rsidRDefault="00BE05DC" w:rsidP="00BE05DC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&lt;</w:t>
      </w:r>
      <w:r w:rsidR="00E00BF6" w:rsidRPr="007C5FA9">
        <w:rPr>
          <w:sz w:val="22"/>
          <w:szCs w:val="22"/>
          <w:lang w:val="uk-UA"/>
        </w:rPr>
        <w:t>Повна назва Підрядника</w:t>
      </w:r>
      <w:r w:rsidRPr="007C5FA9">
        <w:rPr>
          <w:sz w:val="22"/>
          <w:szCs w:val="22"/>
          <w:lang w:val="uk-UA"/>
        </w:rPr>
        <w:t xml:space="preserve">&gt; </w:t>
      </w:r>
    </w:p>
    <w:p w:rsidR="00BE05DC" w:rsidRPr="007C5FA9" w:rsidRDefault="00BE05DC" w:rsidP="00BE05DC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[&lt;</w:t>
      </w:r>
      <w:r w:rsidR="00E00BF6" w:rsidRPr="007C5FA9">
        <w:rPr>
          <w:sz w:val="22"/>
          <w:szCs w:val="22"/>
          <w:lang w:val="uk-UA"/>
        </w:rPr>
        <w:t xml:space="preserve">Код ЄДРПОУ </w:t>
      </w:r>
      <w:r w:rsidRPr="007C5FA9">
        <w:rPr>
          <w:sz w:val="22"/>
          <w:szCs w:val="22"/>
          <w:lang w:val="uk-UA"/>
        </w:rPr>
        <w:t>&gt;]</w:t>
      </w:r>
    </w:p>
    <w:p w:rsidR="00E00BF6" w:rsidRPr="007C5FA9" w:rsidRDefault="00E00BF6" w:rsidP="00E00BF6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&lt;Повна юридична адреса&gt;</w:t>
      </w:r>
    </w:p>
    <w:p w:rsidR="00BE05DC" w:rsidRPr="007C5FA9" w:rsidRDefault="00E00BF6" w:rsidP="00E00BF6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[&lt;Свідоцтво платника ПДВ&gt;],</w:t>
      </w:r>
    </w:p>
    <w:p w:rsidR="00BE05DC" w:rsidRPr="007C5FA9" w:rsidRDefault="00BE05DC" w:rsidP="00BE05DC">
      <w:pPr>
        <w:rPr>
          <w:sz w:val="22"/>
          <w:szCs w:val="22"/>
          <w:lang w:val="uk-UA"/>
        </w:rPr>
      </w:pPr>
    </w:p>
    <w:p w:rsidR="00BE05DC" w:rsidRPr="007C5FA9" w:rsidRDefault="00BE05DC" w:rsidP="00BE05DC">
      <w:pPr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(‘</w:t>
      </w:r>
      <w:r w:rsidR="00E00BF6" w:rsidRPr="007C5FA9">
        <w:rPr>
          <w:sz w:val="22"/>
          <w:szCs w:val="22"/>
          <w:lang w:val="uk-UA"/>
        </w:rPr>
        <w:t>Аудитор</w:t>
      </w:r>
      <w:r w:rsidRPr="007C5FA9">
        <w:rPr>
          <w:sz w:val="22"/>
          <w:szCs w:val="22"/>
          <w:lang w:val="uk-UA"/>
        </w:rPr>
        <w:t xml:space="preserve">’) </w:t>
      </w:r>
    </w:p>
    <w:p w:rsidR="00BE05DC" w:rsidRPr="007C5FA9" w:rsidRDefault="00E00BF6" w:rsidP="00BE05DC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/>
        <w:jc w:val="right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з іншої сторони</w:t>
      </w:r>
      <w:r w:rsidR="00BE05DC" w:rsidRPr="007C5FA9">
        <w:rPr>
          <w:sz w:val="22"/>
          <w:szCs w:val="22"/>
          <w:lang w:val="uk-UA"/>
        </w:rPr>
        <w:t>,</w:t>
      </w:r>
    </w:p>
    <w:p w:rsidR="00BE05DC" w:rsidRPr="007C5FA9" w:rsidRDefault="00E00BF6" w:rsidP="00BE05DC">
      <w:pPr>
        <w:spacing w:after="120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уклали цей Договір про наступне</w:t>
      </w:r>
      <w:r w:rsidR="00BE05DC" w:rsidRPr="007C5FA9">
        <w:rPr>
          <w:sz w:val="22"/>
          <w:szCs w:val="22"/>
          <w:lang w:val="uk-UA"/>
        </w:rPr>
        <w:t>:</w:t>
      </w:r>
    </w:p>
    <w:p w:rsidR="00BE05DC" w:rsidRPr="007C5FA9" w:rsidRDefault="00E00BF6" w:rsidP="00BE05DC">
      <w:pPr>
        <w:pStyle w:val="StyleListNumber11ptBold"/>
        <w:rPr>
          <w:rFonts w:ascii="Century Gothic" w:eastAsiaTheme="minorHAnsi" w:hAnsi="Century Gothic" w:cstheme="minorBidi"/>
          <w:bCs w:val="0"/>
          <w:lang w:val="uk-UA"/>
        </w:rPr>
      </w:pPr>
      <w:bookmarkStart w:id="2" w:name="_Hlk491603720"/>
      <w:r w:rsidRPr="007C5FA9">
        <w:rPr>
          <w:rFonts w:ascii="Century Gothic" w:eastAsiaTheme="minorHAnsi" w:hAnsi="Century Gothic" w:cstheme="minorBidi"/>
          <w:bCs w:val="0"/>
          <w:lang w:val="uk-UA"/>
        </w:rPr>
        <w:t xml:space="preserve">Стаття </w:t>
      </w:r>
      <w:r w:rsidR="00BE05DC" w:rsidRPr="007C5FA9">
        <w:rPr>
          <w:rFonts w:ascii="Century Gothic" w:eastAsiaTheme="minorHAnsi" w:hAnsi="Century Gothic" w:cstheme="minorBidi"/>
          <w:bCs w:val="0"/>
          <w:lang w:val="uk-UA"/>
        </w:rPr>
        <w:t xml:space="preserve">1. </w:t>
      </w:r>
      <w:bookmarkEnd w:id="2"/>
      <w:r w:rsidRPr="007C5FA9">
        <w:rPr>
          <w:rFonts w:ascii="Century Gothic" w:eastAsiaTheme="minorHAnsi" w:hAnsi="Century Gothic" w:cstheme="minorBidi"/>
          <w:bCs w:val="0"/>
          <w:lang w:val="uk-UA"/>
        </w:rPr>
        <w:t>Предмет договору</w:t>
      </w:r>
    </w:p>
    <w:p w:rsidR="00BE05DC" w:rsidRPr="007C5FA9" w:rsidRDefault="00E00BF6" w:rsidP="00EA2AD7">
      <w:pPr>
        <w:pStyle w:val="Akapitzlist"/>
        <w:numPr>
          <w:ilvl w:val="1"/>
          <w:numId w:val="5"/>
        </w:num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 xml:space="preserve">Предметом даного Договору є перевірка витрат Грантового договору </w:t>
      </w:r>
      <w:r w:rsidR="00BE05DC" w:rsidRPr="007C5FA9">
        <w:rPr>
          <w:sz w:val="22"/>
          <w:szCs w:val="22"/>
          <w:lang w:val="uk-UA"/>
        </w:rPr>
        <w:t>[</w:t>
      </w:r>
      <w:r w:rsidRPr="007C5FA9">
        <w:rPr>
          <w:sz w:val="22"/>
          <w:szCs w:val="22"/>
          <w:lang w:val="uk-UA"/>
        </w:rPr>
        <w:t>Назва та номер</w:t>
      </w:r>
      <w:r w:rsidR="00BE05DC" w:rsidRPr="007C5FA9">
        <w:rPr>
          <w:sz w:val="22"/>
          <w:szCs w:val="22"/>
          <w:lang w:val="uk-UA"/>
        </w:rPr>
        <w:t xml:space="preserve">] </w:t>
      </w:r>
      <w:r w:rsidRPr="007C5FA9">
        <w:rPr>
          <w:sz w:val="22"/>
          <w:szCs w:val="22"/>
          <w:lang w:val="uk-UA"/>
        </w:rPr>
        <w:t xml:space="preserve">з ідентифікаційним номером </w:t>
      </w:r>
      <w:r w:rsidR="00BE05DC" w:rsidRPr="007C5FA9">
        <w:rPr>
          <w:sz w:val="22"/>
          <w:szCs w:val="22"/>
          <w:lang w:val="uk-UA"/>
        </w:rPr>
        <w:t>&lt;</w:t>
      </w:r>
      <w:r w:rsidRPr="007C5FA9">
        <w:rPr>
          <w:sz w:val="22"/>
          <w:szCs w:val="22"/>
          <w:lang w:val="uk-UA"/>
        </w:rPr>
        <w:t>посилання на договір</w:t>
      </w:r>
      <w:r w:rsidR="00BE05DC" w:rsidRPr="007C5FA9">
        <w:rPr>
          <w:sz w:val="22"/>
          <w:szCs w:val="22"/>
          <w:lang w:val="uk-UA"/>
        </w:rPr>
        <w:t>&gt; (‘</w:t>
      </w:r>
      <w:r w:rsidRPr="007C5FA9">
        <w:rPr>
          <w:sz w:val="22"/>
          <w:szCs w:val="22"/>
          <w:lang w:val="uk-UA"/>
        </w:rPr>
        <w:t>послуга</w:t>
      </w:r>
      <w:r w:rsidR="00BE05DC" w:rsidRPr="007C5FA9">
        <w:rPr>
          <w:sz w:val="22"/>
          <w:szCs w:val="22"/>
          <w:lang w:val="uk-UA"/>
        </w:rPr>
        <w:t>’).</w:t>
      </w:r>
    </w:p>
    <w:p w:rsidR="004B2F78" w:rsidRPr="007C5FA9" w:rsidRDefault="00E00BF6" w:rsidP="00EA2AD7">
      <w:pPr>
        <w:pStyle w:val="Akapitzlist"/>
        <w:numPr>
          <w:ilvl w:val="1"/>
          <w:numId w:val="5"/>
        </w:num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 xml:space="preserve">Аудитор </w:t>
      </w:r>
      <w:r w:rsidR="00F03A47" w:rsidRPr="007C5FA9">
        <w:rPr>
          <w:sz w:val="22"/>
          <w:szCs w:val="22"/>
          <w:lang w:val="uk-UA"/>
        </w:rPr>
        <w:t>повинен</w:t>
      </w:r>
      <w:r w:rsidRPr="007C5FA9">
        <w:rPr>
          <w:sz w:val="22"/>
          <w:szCs w:val="22"/>
          <w:lang w:val="uk-UA"/>
        </w:rPr>
        <w:t>:</w:t>
      </w:r>
      <w:r w:rsidR="004B2F78" w:rsidRPr="007C5FA9">
        <w:rPr>
          <w:sz w:val="22"/>
          <w:szCs w:val="22"/>
          <w:lang w:val="uk-UA"/>
        </w:rPr>
        <w:t xml:space="preserve">  </w:t>
      </w:r>
    </w:p>
    <w:p w:rsidR="002E1B5B" w:rsidRPr="007C5FA9" w:rsidRDefault="00F03A47" w:rsidP="00795E6A">
      <w:pPr>
        <w:pStyle w:val="Akapitzlist"/>
        <w:numPr>
          <w:ilvl w:val="0"/>
          <w:numId w:val="7"/>
        </w:numPr>
        <w:tabs>
          <w:tab w:val="left" w:pos="1701"/>
        </w:tabs>
        <w:spacing w:after="160"/>
        <w:ind w:left="1418" w:hanging="425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відповідати кваліфікаціям та вимогам, встановленим до аудиторів, як це визначено в Посібнику з витрат</w:t>
      </w:r>
      <w:r w:rsidR="002E1B5B" w:rsidRPr="007C5FA9">
        <w:rPr>
          <w:rStyle w:val="Odwoanieprzypisudolnego"/>
          <w:sz w:val="22"/>
          <w:szCs w:val="22"/>
          <w:lang w:val="uk-UA"/>
        </w:rPr>
        <w:footnoteReference w:id="1"/>
      </w:r>
      <w:r w:rsidR="002E1B5B" w:rsidRPr="007C5FA9">
        <w:rPr>
          <w:sz w:val="22"/>
          <w:szCs w:val="22"/>
          <w:lang w:val="uk-UA"/>
        </w:rPr>
        <w:t>,</w:t>
      </w:r>
    </w:p>
    <w:p w:rsidR="00EA2AD7" w:rsidRPr="007C5FA9" w:rsidRDefault="00F03A47" w:rsidP="008E09D9">
      <w:pPr>
        <w:pStyle w:val="Akapitzlist"/>
        <w:numPr>
          <w:ilvl w:val="0"/>
          <w:numId w:val="7"/>
        </w:numPr>
        <w:tabs>
          <w:tab w:val="left" w:pos="1701"/>
        </w:tabs>
        <w:spacing w:after="160"/>
        <w:ind w:left="1418" w:hanging="425"/>
        <w:jc w:val="both"/>
        <w:rPr>
          <w:sz w:val="22"/>
          <w:szCs w:val="22"/>
          <w:lang w:val="uk-UA"/>
        </w:rPr>
      </w:pPr>
      <w:r w:rsidRPr="007C5FA9">
        <w:rPr>
          <w:rStyle w:val="tlid-translation"/>
          <w:sz w:val="22"/>
          <w:szCs w:val="22"/>
          <w:lang w:val="uk-UA"/>
        </w:rPr>
        <w:t xml:space="preserve">проводити процедури перевірки витрат і видавати </w:t>
      </w:r>
      <w:r w:rsidR="004F19FC">
        <w:rPr>
          <w:rStyle w:val="tlid-translation"/>
          <w:sz w:val="22"/>
          <w:szCs w:val="22"/>
          <w:lang w:val="uk-UA"/>
        </w:rPr>
        <w:t>документи за результатами перевірки на основі процедур і зразків</w:t>
      </w:r>
      <w:r w:rsidRPr="007C5FA9">
        <w:rPr>
          <w:rStyle w:val="tlid-translation"/>
          <w:sz w:val="22"/>
          <w:szCs w:val="22"/>
          <w:lang w:val="uk-UA"/>
        </w:rPr>
        <w:t xml:space="preserve">, </w:t>
      </w:r>
      <w:r w:rsidR="006A0FB1">
        <w:rPr>
          <w:rStyle w:val="tlid-translation"/>
          <w:sz w:val="22"/>
          <w:szCs w:val="22"/>
          <w:lang w:val="uk-UA"/>
        </w:rPr>
        <w:t>поданих</w:t>
      </w:r>
      <w:r w:rsidRPr="007C5FA9">
        <w:rPr>
          <w:rStyle w:val="tlid-translation"/>
          <w:sz w:val="22"/>
          <w:szCs w:val="22"/>
          <w:lang w:val="uk-UA"/>
        </w:rPr>
        <w:t xml:space="preserve"> у Посібнику з витрат, переглядаючи витрати, зазначені Бенефіціаром з посиланням на умови прийнятності витрат, визначених у Грантовому договорі.</w:t>
      </w:r>
    </w:p>
    <w:p w:rsidR="00BE05DC" w:rsidRPr="007C5FA9" w:rsidRDefault="00A11D71" w:rsidP="00290516">
      <w:p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1.3</w:t>
      </w:r>
      <w:r w:rsidR="00BE05DC" w:rsidRPr="007C5FA9">
        <w:rPr>
          <w:sz w:val="22"/>
          <w:szCs w:val="22"/>
          <w:lang w:val="uk-UA"/>
        </w:rPr>
        <w:tab/>
      </w:r>
      <w:r w:rsidR="00F03A47" w:rsidRPr="007C5FA9">
        <w:rPr>
          <w:sz w:val="22"/>
          <w:szCs w:val="22"/>
          <w:lang w:val="uk-UA"/>
        </w:rPr>
        <w:t>Аудитор повинен виконувати поставлені перед ним завдання згідно з ви</w:t>
      </w:r>
      <w:r w:rsidR="004F19FC">
        <w:rPr>
          <w:sz w:val="22"/>
          <w:szCs w:val="22"/>
          <w:lang w:val="uk-UA"/>
        </w:rPr>
        <w:t>могами, процедурами та зразками</w:t>
      </w:r>
      <w:r w:rsidR="00F03A47" w:rsidRPr="007C5FA9">
        <w:rPr>
          <w:sz w:val="22"/>
          <w:szCs w:val="22"/>
          <w:lang w:val="uk-UA"/>
        </w:rPr>
        <w:t xml:space="preserve">, що додаються до цього Договору, </w:t>
      </w:r>
      <w:r w:rsidR="00F03A47" w:rsidRPr="007C5FA9">
        <w:rPr>
          <w:sz w:val="22"/>
          <w:szCs w:val="22"/>
          <w:lang w:val="uk-UA"/>
        </w:rPr>
        <w:lastRenderedPageBreak/>
        <w:t>або будь-якого оновлення, виданого Органом управління або Спільним технічним секретаріатом</w:t>
      </w:r>
      <w:r w:rsidR="00BE05DC" w:rsidRPr="007C5FA9">
        <w:rPr>
          <w:sz w:val="22"/>
          <w:szCs w:val="22"/>
          <w:lang w:val="uk-UA"/>
        </w:rPr>
        <w:t>.</w:t>
      </w:r>
    </w:p>
    <w:p w:rsidR="00BE05DC" w:rsidRPr="007C5FA9" w:rsidRDefault="00F03A47" w:rsidP="00BE05DC">
      <w:pPr>
        <w:pStyle w:val="StyleListNumber11ptBold"/>
        <w:rPr>
          <w:rFonts w:ascii="Century Gothic" w:eastAsiaTheme="minorHAnsi" w:hAnsi="Century Gothic" w:cstheme="minorBidi"/>
          <w:bCs w:val="0"/>
          <w:lang w:val="uk-UA"/>
        </w:rPr>
      </w:pPr>
      <w:r w:rsidRPr="007C5FA9">
        <w:rPr>
          <w:rFonts w:ascii="Century Gothic" w:eastAsiaTheme="minorHAnsi" w:hAnsi="Century Gothic" w:cstheme="minorBidi"/>
          <w:bCs w:val="0"/>
          <w:lang w:val="uk-UA"/>
        </w:rPr>
        <w:t>Стаття</w:t>
      </w:r>
      <w:r w:rsidR="00BE05DC" w:rsidRPr="007C5FA9">
        <w:rPr>
          <w:rFonts w:ascii="Century Gothic" w:eastAsiaTheme="minorHAnsi" w:hAnsi="Century Gothic" w:cstheme="minorBidi"/>
          <w:bCs w:val="0"/>
          <w:lang w:val="uk-UA"/>
        </w:rPr>
        <w:t xml:space="preserve"> 2. </w:t>
      </w:r>
      <w:r w:rsidR="00C22791" w:rsidRPr="007C5FA9">
        <w:rPr>
          <w:rFonts w:ascii="Century Gothic" w:eastAsiaTheme="minorHAnsi" w:hAnsi="Century Gothic" w:cstheme="minorBidi"/>
          <w:bCs w:val="0"/>
          <w:lang w:val="uk-UA"/>
        </w:rPr>
        <w:t>Вартість договору</w:t>
      </w:r>
    </w:p>
    <w:p w:rsidR="00BE05DC" w:rsidRPr="007C5FA9" w:rsidRDefault="00C22791" w:rsidP="00BE05DC">
      <w:pPr>
        <w:spacing w:after="120"/>
        <w:ind w:left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 xml:space="preserve">Вартість даного Договору, становить </w:t>
      </w:r>
      <w:r w:rsidR="00BE05DC" w:rsidRPr="007C5FA9">
        <w:rPr>
          <w:sz w:val="22"/>
          <w:szCs w:val="22"/>
          <w:lang w:val="uk-UA"/>
        </w:rPr>
        <w:t>[&lt;</w:t>
      </w:r>
      <w:r w:rsidRPr="007C5FA9">
        <w:rPr>
          <w:sz w:val="22"/>
          <w:szCs w:val="22"/>
          <w:lang w:val="uk-UA"/>
        </w:rPr>
        <w:t xml:space="preserve">національна валюта </w:t>
      </w:r>
      <w:r w:rsidR="00BE05DC" w:rsidRPr="007C5FA9">
        <w:rPr>
          <w:sz w:val="22"/>
          <w:szCs w:val="22"/>
          <w:lang w:val="uk-UA"/>
        </w:rPr>
        <w:t xml:space="preserve">&gt;, </w:t>
      </w:r>
      <w:r w:rsidRPr="007C5FA9">
        <w:rPr>
          <w:sz w:val="22"/>
          <w:szCs w:val="22"/>
          <w:lang w:val="uk-UA"/>
        </w:rPr>
        <w:t>фіксована ціна].</w:t>
      </w:r>
    </w:p>
    <w:p w:rsidR="00BE05DC" w:rsidRPr="007C5FA9" w:rsidRDefault="00C22791" w:rsidP="00BE05DC">
      <w:pPr>
        <w:pStyle w:val="StyleListNumber11ptBold"/>
        <w:rPr>
          <w:rFonts w:ascii="Century Gothic" w:eastAsiaTheme="minorHAnsi" w:hAnsi="Century Gothic" w:cstheme="minorBidi"/>
          <w:bCs w:val="0"/>
          <w:lang w:val="uk-UA"/>
        </w:rPr>
      </w:pPr>
      <w:r w:rsidRPr="007C5FA9">
        <w:rPr>
          <w:rFonts w:ascii="Century Gothic" w:eastAsiaTheme="minorHAnsi" w:hAnsi="Century Gothic" w:cstheme="minorBidi"/>
          <w:bCs w:val="0"/>
          <w:lang w:val="uk-UA"/>
        </w:rPr>
        <w:t>Стаття</w:t>
      </w:r>
      <w:r w:rsidR="00BE05DC" w:rsidRPr="007C5FA9">
        <w:rPr>
          <w:rFonts w:ascii="Century Gothic" w:eastAsiaTheme="minorHAnsi" w:hAnsi="Century Gothic" w:cstheme="minorBidi"/>
          <w:bCs w:val="0"/>
          <w:lang w:val="uk-UA"/>
        </w:rPr>
        <w:t xml:space="preserve"> 3. </w:t>
      </w:r>
      <w:r w:rsidRPr="007C5FA9">
        <w:rPr>
          <w:rFonts w:ascii="Century Gothic" w:eastAsiaTheme="minorHAnsi" w:hAnsi="Century Gothic" w:cstheme="minorBidi"/>
          <w:bCs w:val="0"/>
          <w:lang w:val="uk-UA"/>
        </w:rPr>
        <w:t>Додатки до Договору</w:t>
      </w:r>
    </w:p>
    <w:p w:rsidR="00BE05DC" w:rsidRPr="007C5FA9" w:rsidRDefault="00C22791" w:rsidP="007F7A3C">
      <w:pPr>
        <w:spacing w:after="120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 xml:space="preserve">Наступні документи повинні вважатися такими, що формуються, </w:t>
      </w:r>
      <w:proofErr w:type="spellStart"/>
      <w:r w:rsidRPr="007C5FA9">
        <w:rPr>
          <w:sz w:val="22"/>
          <w:szCs w:val="22"/>
          <w:lang w:val="uk-UA"/>
        </w:rPr>
        <w:t>читаються</w:t>
      </w:r>
      <w:proofErr w:type="spellEnd"/>
      <w:r w:rsidRPr="007C5FA9">
        <w:rPr>
          <w:sz w:val="22"/>
          <w:szCs w:val="22"/>
          <w:lang w:val="uk-UA"/>
        </w:rPr>
        <w:t xml:space="preserve"> та </w:t>
      </w:r>
      <w:proofErr w:type="spellStart"/>
      <w:r w:rsidRPr="007C5FA9">
        <w:rPr>
          <w:sz w:val="22"/>
          <w:szCs w:val="22"/>
          <w:lang w:val="uk-UA"/>
        </w:rPr>
        <w:t>тлумачаться</w:t>
      </w:r>
      <w:proofErr w:type="spellEnd"/>
      <w:r w:rsidRPr="007C5FA9">
        <w:rPr>
          <w:sz w:val="22"/>
          <w:szCs w:val="22"/>
          <w:lang w:val="uk-UA"/>
        </w:rPr>
        <w:t xml:space="preserve"> як частина цього Договору</w:t>
      </w:r>
      <w:r w:rsidR="00BE05DC" w:rsidRPr="007C5FA9">
        <w:rPr>
          <w:sz w:val="22"/>
          <w:szCs w:val="22"/>
          <w:lang w:val="uk-UA"/>
        </w:rPr>
        <w:t>:</w:t>
      </w:r>
    </w:p>
    <w:p w:rsidR="00FE6AE8" w:rsidRPr="007C5FA9" w:rsidRDefault="00C22791" w:rsidP="00FE6AE8">
      <w:pPr>
        <w:numPr>
          <w:ilvl w:val="0"/>
          <w:numId w:val="1"/>
        </w:numPr>
        <w:tabs>
          <w:tab w:val="left" w:pos="993"/>
        </w:tabs>
        <w:spacing w:after="60"/>
        <w:ind w:left="993" w:hanging="284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Додаток</w:t>
      </w:r>
      <w:r w:rsidR="001A71FB" w:rsidRPr="007C5FA9">
        <w:rPr>
          <w:sz w:val="22"/>
          <w:szCs w:val="22"/>
          <w:lang w:val="uk-UA"/>
        </w:rPr>
        <w:t xml:space="preserve"> I: </w:t>
      </w:r>
      <w:r w:rsidRPr="007C5FA9">
        <w:rPr>
          <w:sz w:val="22"/>
          <w:szCs w:val="22"/>
          <w:lang w:val="uk-UA"/>
        </w:rPr>
        <w:t>Грантовий договір та додатки до нього</w:t>
      </w:r>
      <w:r w:rsidR="00BE05DC" w:rsidRPr="007C5FA9">
        <w:rPr>
          <w:sz w:val="22"/>
          <w:szCs w:val="22"/>
          <w:lang w:val="uk-UA"/>
        </w:rPr>
        <w:t>;</w:t>
      </w:r>
    </w:p>
    <w:p w:rsidR="0011364B" w:rsidRPr="007C5FA9" w:rsidRDefault="00C22791" w:rsidP="0011364B">
      <w:pPr>
        <w:numPr>
          <w:ilvl w:val="0"/>
          <w:numId w:val="1"/>
        </w:numPr>
        <w:tabs>
          <w:tab w:val="left" w:pos="993"/>
        </w:tabs>
        <w:spacing w:after="60"/>
        <w:ind w:left="993" w:hanging="284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 xml:space="preserve">Додаток </w:t>
      </w:r>
      <w:r w:rsidR="001A71FB" w:rsidRPr="007C5FA9">
        <w:rPr>
          <w:sz w:val="22"/>
          <w:szCs w:val="22"/>
          <w:lang w:val="uk-UA"/>
        </w:rPr>
        <w:t xml:space="preserve">II: </w:t>
      </w:r>
      <w:r w:rsidRPr="007C5FA9">
        <w:rPr>
          <w:sz w:val="22"/>
          <w:szCs w:val="22"/>
          <w:lang w:val="uk-UA"/>
        </w:rPr>
        <w:t>Програмний Посібник</w:t>
      </w:r>
      <w:r w:rsidR="00B419A3" w:rsidRPr="007C5FA9">
        <w:rPr>
          <w:sz w:val="22"/>
          <w:szCs w:val="22"/>
          <w:lang w:val="uk-UA"/>
        </w:rPr>
        <w:t>;</w:t>
      </w:r>
      <w:r w:rsidR="0011364B" w:rsidRPr="007C5FA9">
        <w:rPr>
          <w:rStyle w:val="Odwoanieprzypisudolnego"/>
          <w:sz w:val="22"/>
          <w:szCs w:val="22"/>
          <w:lang w:val="uk-UA"/>
        </w:rPr>
        <w:footnoteReference w:id="2"/>
      </w:r>
      <w:r w:rsidR="0011364B" w:rsidRPr="007C5FA9">
        <w:rPr>
          <w:sz w:val="22"/>
          <w:szCs w:val="22"/>
          <w:lang w:val="uk-UA"/>
        </w:rPr>
        <w:t xml:space="preserve">  </w:t>
      </w:r>
    </w:p>
    <w:p w:rsidR="00F23DD7" w:rsidRPr="007C5FA9" w:rsidRDefault="00C22791" w:rsidP="0011364B">
      <w:pPr>
        <w:numPr>
          <w:ilvl w:val="0"/>
          <w:numId w:val="1"/>
        </w:numPr>
        <w:tabs>
          <w:tab w:val="left" w:pos="993"/>
        </w:tabs>
        <w:spacing w:after="60"/>
        <w:ind w:left="993" w:hanging="284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 xml:space="preserve">Додаток </w:t>
      </w:r>
      <w:r w:rsidR="00F23DD7" w:rsidRPr="007C5FA9">
        <w:rPr>
          <w:sz w:val="22"/>
          <w:szCs w:val="22"/>
          <w:lang w:val="uk-UA"/>
        </w:rPr>
        <w:t>III</w:t>
      </w:r>
      <w:r w:rsidRPr="007C5FA9">
        <w:rPr>
          <w:sz w:val="22"/>
          <w:szCs w:val="22"/>
          <w:lang w:val="uk-UA"/>
        </w:rPr>
        <w:t>:</w:t>
      </w:r>
      <w:r w:rsidR="00F23DD7" w:rsidRPr="007C5FA9">
        <w:rPr>
          <w:sz w:val="22"/>
          <w:szCs w:val="22"/>
          <w:lang w:val="uk-UA"/>
        </w:rPr>
        <w:t xml:space="preserve"> </w:t>
      </w:r>
      <w:r w:rsidR="00911325" w:rsidRPr="007C5FA9">
        <w:rPr>
          <w:sz w:val="22"/>
          <w:szCs w:val="22"/>
          <w:lang w:val="uk-UA"/>
        </w:rPr>
        <w:t xml:space="preserve"> </w:t>
      </w:r>
      <w:r w:rsidRPr="007C5FA9">
        <w:rPr>
          <w:sz w:val="22"/>
          <w:szCs w:val="22"/>
          <w:lang w:val="uk-UA"/>
        </w:rPr>
        <w:t>Посібник з перевірки витрат та додатки до нього</w:t>
      </w:r>
      <w:r w:rsidR="00B419A3" w:rsidRPr="007C5FA9">
        <w:rPr>
          <w:sz w:val="22"/>
          <w:szCs w:val="22"/>
          <w:lang w:val="uk-UA"/>
        </w:rPr>
        <w:t>;</w:t>
      </w:r>
    </w:p>
    <w:p w:rsidR="00BE05DC" w:rsidRPr="007C5FA9" w:rsidRDefault="00C22791" w:rsidP="00BE05DC">
      <w:pPr>
        <w:numPr>
          <w:ilvl w:val="0"/>
          <w:numId w:val="1"/>
        </w:numPr>
        <w:tabs>
          <w:tab w:val="left" w:pos="993"/>
        </w:tabs>
        <w:spacing w:after="60"/>
        <w:ind w:left="993" w:hanging="284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Додаток</w:t>
      </w:r>
      <w:r w:rsidR="001B7FD8" w:rsidRPr="007C5FA9">
        <w:rPr>
          <w:sz w:val="22"/>
          <w:szCs w:val="22"/>
          <w:lang w:val="uk-UA"/>
        </w:rPr>
        <w:t xml:space="preserve"> I</w:t>
      </w:r>
      <w:r w:rsidR="00F23DD7" w:rsidRPr="007C5FA9">
        <w:rPr>
          <w:sz w:val="22"/>
          <w:szCs w:val="22"/>
          <w:lang w:val="uk-UA"/>
        </w:rPr>
        <w:t>V</w:t>
      </w:r>
      <w:r w:rsidRPr="007C5FA9">
        <w:rPr>
          <w:sz w:val="22"/>
          <w:szCs w:val="22"/>
          <w:lang w:val="uk-UA"/>
        </w:rPr>
        <w:t>:</w:t>
      </w:r>
      <w:r w:rsidR="001B7FD8" w:rsidRPr="007C5FA9">
        <w:rPr>
          <w:sz w:val="22"/>
          <w:szCs w:val="22"/>
          <w:lang w:val="uk-UA"/>
        </w:rPr>
        <w:t xml:space="preserve"> </w:t>
      </w:r>
      <w:r w:rsidRPr="007C5FA9">
        <w:rPr>
          <w:sz w:val="22"/>
          <w:szCs w:val="22"/>
          <w:lang w:val="uk-UA"/>
        </w:rPr>
        <w:t>Партнерська Угода</w:t>
      </w:r>
      <w:r w:rsidR="00B419A3" w:rsidRPr="007C5FA9">
        <w:rPr>
          <w:sz w:val="22"/>
          <w:szCs w:val="22"/>
          <w:lang w:val="uk-UA"/>
        </w:rPr>
        <w:t>.</w:t>
      </w:r>
    </w:p>
    <w:p w:rsidR="00BE05DC" w:rsidRPr="007C5FA9" w:rsidRDefault="00C22791" w:rsidP="00BE05DC">
      <w:pPr>
        <w:pStyle w:val="StyleListNumber11ptBold"/>
        <w:rPr>
          <w:rFonts w:ascii="Century Gothic" w:eastAsiaTheme="minorHAnsi" w:hAnsi="Century Gothic" w:cstheme="minorBidi"/>
          <w:bCs w:val="0"/>
          <w:lang w:val="uk-UA"/>
        </w:rPr>
      </w:pPr>
      <w:r w:rsidRPr="007C5FA9">
        <w:rPr>
          <w:rFonts w:ascii="Century Gothic" w:eastAsiaTheme="minorHAnsi" w:hAnsi="Century Gothic" w:cstheme="minorBidi"/>
          <w:bCs w:val="0"/>
          <w:lang w:val="uk-UA"/>
        </w:rPr>
        <w:t>Стаття</w:t>
      </w:r>
      <w:r w:rsidR="00BE05DC" w:rsidRPr="007C5FA9">
        <w:rPr>
          <w:rFonts w:ascii="Century Gothic" w:eastAsiaTheme="minorHAnsi" w:hAnsi="Century Gothic" w:cstheme="minorBidi"/>
          <w:bCs w:val="0"/>
          <w:lang w:val="uk-UA"/>
        </w:rPr>
        <w:t xml:space="preserve"> 4. </w:t>
      </w:r>
      <w:r w:rsidRPr="007C5FA9">
        <w:rPr>
          <w:rFonts w:ascii="Century Gothic" w:eastAsiaTheme="minorHAnsi" w:hAnsi="Century Gothic" w:cstheme="minorBidi"/>
          <w:bCs w:val="0"/>
          <w:lang w:val="uk-UA"/>
        </w:rPr>
        <w:t>Мова Договору</w:t>
      </w:r>
    </w:p>
    <w:p w:rsidR="004F18E3" w:rsidRPr="007C5FA9" w:rsidRDefault="00221420" w:rsidP="000904E1">
      <w:pPr>
        <w:spacing w:after="120"/>
        <w:ind w:left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Мова Договору, офіційних листів та висновків</w:t>
      </w:r>
      <w:r w:rsidR="00C22791" w:rsidRPr="007C5FA9">
        <w:rPr>
          <w:sz w:val="22"/>
          <w:szCs w:val="22"/>
          <w:lang w:val="uk-UA"/>
        </w:rPr>
        <w:t xml:space="preserve"> (включаючи с</w:t>
      </w:r>
      <w:r>
        <w:rPr>
          <w:sz w:val="22"/>
          <w:szCs w:val="22"/>
          <w:lang w:val="uk-UA"/>
        </w:rPr>
        <w:t>ертифікат про перевірку витрат)</w:t>
      </w:r>
      <w:r w:rsidR="00C22791" w:rsidRPr="007C5FA9">
        <w:rPr>
          <w:sz w:val="22"/>
          <w:szCs w:val="22"/>
          <w:lang w:val="uk-UA"/>
        </w:rPr>
        <w:t xml:space="preserve"> між Аудитором та Бенефіціаром, повинна бути англійською. Робоче спілкування може </w:t>
      </w:r>
      <w:r w:rsidR="00246063" w:rsidRPr="007C5FA9">
        <w:rPr>
          <w:sz w:val="22"/>
          <w:szCs w:val="22"/>
          <w:lang w:val="uk-UA"/>
        </w:rPr>
        <w:t xml:space="preserve">відбуватися </w:t>
      </w:r>
      <w:r w:rsidR="00C22791" w:rsidRPr="007C5FA9">
        <w:rPr>
          <w:sz w:val="22"/>
          <w:szCs w:val="22"/>
          <w:lang w:val="uk-UA"/>
        </w:rPr>
        <w:t>національни</w:t>
      </w:r>
      <w:r w:rsidR="00246063" w:rsidRPr="007C5FA9">
        <w:rPr>
          <w:sz w:val="22"/>
          <w:szCs w:val="22"/>
          <w:lang w:val="uk-UA"/>
        </w:rPr>
        <w:t>ми</w:t>
      </w:r>
      <w:r w:rsidR="00C22791" w:rsidRPr="007C5FA9">
        <w:rPr>
          <w:sz w:val="22"/>
          <w:szCs w:val="22"/>
          <w:lang w:val="uk-UA"/>
        </w:rPr>
        <w:t xml:space="preserve"> мова</w:t>
      </w:r>
      <w:r w:rsidR="00246063" w:rsidRPr="007C5FA9">
        <w:rPr>
          <w:sz w:val="22"/>
          <w:szCs w:val="22"/>
          <w:lang w:val="uk-UA"/>
        </w:rPr>
        <w:t>ми</w:t>
      </w:r>
      <w:r w:rsidR="004F18E3" w:rsidRPr="007C5FA9">
        <w:rPr>
          <w:sz w:val="22"/>
          <w:szCs w:val="22"/>
          <w:lang w:val="uk-UA"/>
        </w:rPr>
        <w:t>.</w:t>
      </w:r>
    </w:p>
    <w:p w:rsidR="00BE05DC" w:rsidRPr="007C5FA9" w:rsidRDefault="00246063" w:rsidP="00BE05DC">
      <w:pPr>
        <w:spacing w:before="240" w:after="120"/>
        <w:ind w:left="1134" w:hanging="1134"/>
        <w:rPr>
          <w:b/>
          <w:lang w:val="uk-UA"/>
        </w:rPr>
      </w:pPr>
      <w:bookmarkStart w:id="3" w:name="_Ref500218714"/>
      <w:r w:rsidRPr="007C5FA9">
        <w:rPr>
          <w:b/>
          <w:lang w:val="uk-UA"/>
        </w:rPr>
        <w:t>Стаття</w:t>
      </w:r>
      <w:r w:rsidR="00BE05DC" w:rsidRPr="007C5FA9">
        <w:rPr>
          <w:b/>
          <w:lang w:val="uk-UA"/>
        </w:rPr>
        <w:t xml:space="preserve"> 5.</w:t>
      </w:r>
      <w:r w:rsidR="00BE05DC" w:rsidRPr="007C5FA9">
        <w:rPr>
          <w:b/>
          <w:lang w:val="uk-UA"/>
        </w:rPr>
        <w:tab/>
      </w:r>
      <w:r w:rsidRPr="007C5FA9">
        <w:rPr>
          <w:b/>
          <w:lang w:val="uk-UA"/>
        </w:rPr>
        <w:t>Спілкування</w:t>
      </w:r>
    </w:p>
    <w:p w:rsidR="00BE05DC" w:rsidRPr="007C5FA9" w:rsidRDefault="00704073" w:rsidP="00BE05DC">
      <w:pPr>
        <w:keepNext/>
        <w:keepLines/>
        <w:spacing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5</w:t>
      </w:r>
      <w:r w:rsidR="00246063" w:rsidRPr="007C5FA9">
        <w:rPr>
          <w:sz w:val="22"/>
          <w:szCs w:val="22"/>
          <w:lang w:val="uk-UA"/>
        </w:rPr>
        <w:t>.</w:t>
      </w:r>
      <w:r w:rsidRPr="007C5FA9">
        <w:rPr>
          <w:sz w:val="22"/>
          <w:szCs w:val="22"/>
          <w:lang w:val="uk-UA"/>
        </w:rPr>
        <w:t>1</w:t>
      </w:r>
      <w:r w:rsidR="0033714B" w:rsidRPr="007C5FA9">
        <w:rPr>
          <w:sz w:val="22"/>
          <w:szCs w:val="22"/>
          <w:lang w:val="uk-UA"/>
        </w:rPr>
        <w:tab/>
      </w:r>
      <w:r w:rsidR="00BE05DC" w:rsidRPr="007C5FA9">
        <w:rPr>
          <w:sz w:val="22"/>
          <w:szCs w:val="22"/>
          <w:lang w:val="uk-UA"/>
        </w:rPr>
        <w:t>&lt;</w:t>
      </w:r>
      <w:r w:rsidR="00246063" w:rsidRPr="007C5FA9">
        <w:rPr>
          <w:sz w:val="22"/>
          <w:szCs w:val="22"/>
          <w:lang w:val="uk-UA"/>
        </w:rPr>
        <w:t>Вкажіть тут контактні особи, адреси Сторін, їхні інші контактні дані, документи, які необхідно надати, і процедуру, яку Сторони повинні використовувати для спілкування</w:t>
      </w:r>
      <w:r w:rsidR="00BE05DC" w:rsidRPr="007C5FA9">
        <w:rPr>
          <w:sz w:val="22"/>
          <w:szCs w:val="22"/>
          <w:lang w:val="uk-UA"/>
        </w:rPr>
        <w:t>.&gt;</w:t>
      </w:r>
    </w:p>
    <w:p w:rsidR="00704073" w:rsidRPr="007C5FA9" w:rsidRDefault="00704073" w:rsidP="00704073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5.2</w:t>
      </w:r>
      <w:r w:rsidR="00246063" w:rsidRPr="007C5FA9">
        <w:rPr>
          <w:sz w:val="22"/>
          <w:szCs w:val="22"/>
          <w:lang w:val="uk-UA"/>
        </w:rPr>
        <w:tab/>
      </w:r>
      <w:r w:rsidR="009A55F1" w:rsidRPr="007C5FA9">
        <w:rPr>
          <w:sz w:val="22"/>
          <w:szCs w:val="22"/>
          <w:lang w:val="uk-UA"/>
        </w:rPr>
        <w:t>Будь-яка передача інформації, що стосується прийнятності витрат, повинна здійснюватися у письмовій формі</w:t>
      </w:r>
      <w:r w:rsidR="004D7F87" w:rsidRPr="007C5FA9">
        <w:rPr>
          <w:sz w:val="22"/>
          <w:szCs w:val="22"/>
          <w:lang w:val="uk-UA"/>
        </w:rPr>
        <w:t xml:space="preserve"> (у паперовій або електронній версії)</w:t>
      </w:r>
      <w:r w:rsidRPr="007C5FA9">
        <w:rPr>
          <w:sz w:val="22"/>
          <w:szCs w:val="22"/>
          <w:lang w:val="uk-UA"/>
        </w:rPr>
        <w:t xml:space="preserve">. </w:t>
      </w:r>
    </w:p>
    <w:p w:rsidR="00704073" w:rsidRPr="007C5FA9" w:rsidRDefault="00704073" w:rsidP="00137117">
      <w:pPr>
        <w:pStyle w:val="Akapitzlist"/>
        <w:spacing w:before="100" w:beforeAutospacing="1" w:after="100" w:afterAutospacing="1"/>
        <w:ind w:left="567" w:hanging="567"/>
        <w:jc w:val="both"/>
        <w:rPr>
          <w:rFonts w:eastAsia="TrebuchetMS" w:cs="TrebuchetMS"/>
          <w:color w:val="262626"/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5.3</w:t>
      </w:r>
      <w:r w:rsidRPr="007C5FA9">
        <w:rPr>
          <w:sz w:val="22"/>
          <w:szCs w:val="22"/>
          <w:lang w:val="uk-UA"/>
        </w:rPr>
        <w:tab/>
      </w:r>
      <w:r w:rsidR="00AD7EA5">
        <w:rPr>
          <w:sz w:val="22"/>
          <w:szCs w:val="22"/>
          <w:lang w:val="uk-UA"/>
        </w:rPr>
        <w:t>Всі документи з аудиту потрібно</w:t>
      </w:r>
      <w:r w:rsidR="00137117" w:rsidRPr="007C5FA9">
        <w:rPr>
          <w:sz w:val="22"/>
          <w:szCs w:val="22"/>
          <w:lang w:val="uk-UA"/>
        </w:rPr>
        <w:t xml:space="preserve"> надсилати Аудитору у формі оригіналів, або завірених копій ориг</w:t>
      </w:r>
      <w:r w:rsidR="003230C5">
        <w:rPr>
          <w:sz w:val="22"/>
          <w:szCs w:val="22"/>
          <w:lang w:val="uk-UA"/>
        </w:rPr>
        <w:t>іналів, або на електронних носіях інформації</w:t>
      </w:r>
      <w:r w:rsidR="00137117" w:rsidRPr="007C5FA9">
        <w:rPr>
          <w:sz w:val="22"/>
          <w:szCs w:val="22"/>
          <w:lang w:val="uk-UA"/>
        </w:rPr>
        <w:t>, включаючи електронні версії оригінальних документів або документів, що існують тільки в електронній версії</w:t>
      </w:r>
      <w:r w:rsidR="0035774F" w:rsidRPr="007C5FA9">
        <w:rPr>
          <w:rStyle w:val="Odwoanieprzypisudolnego"/>
          <w:sz w:val="22"/>
          <w:szCs w:val="22"/>
          <w:lang w:val="uk-UA"/>
        </w:rPr>
        <w:footnoteReference w:id="3"/>
      </w:r>
      <w:r w:rsidRPr="007C5FA9">
        <w:rPr>
          <w:rFonts w:eastAsia="TrebuchetMS" w:cs="TrebuchetMS"/>
          <w:color w:val="262626"/>
          <w:sz w:val="22"/>
          <w:szCs w:val="22"/>
          <w:lang w:val="uk-UA"/>
        </w:rPr>
        <w:t xml:space="preserve">. </w:t>
      </w:r>
    </w:p>
    <w:p w:rsidR="00FD77D0" w:rsidRPr="007C5FA9" w:rsidRDefault="00FD77D0" w:rsidP="00FD77D0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rFonts w:eastAsia="TrebuchetMS" w:cs="TrebuchetMS"/>
          <w:color w:val="262626"/>
          <w:lang w:val="uk-UA"/>
        </w:rPr>
      </w:pPr>
      <w:r w:rsidRPr="007C5FA9">
        <w:rPr>
          <w:rFonts w:eastAsia="TrebuchetMS" w:cs="TrebuchetMS"/>
          <w:color w:val="262626"/>
          <w:sz w:val="22"/>
          <w:szCs w:val="22"/>
          <w:lang w:val="uk-UA"/>
        </w:rPr>
        <w:t xml:space="preserve">5.4 </w:t>
      </w:r>
      <w:r w:rsidRPr="007C5FA9">
        <w:rPr>
          <w:rFonts w:eastAsia="TrebuchetMS" w:cs="TrebuchetMS"/>
          <w:color w:val="262626"/>
          <w:sz w:val="22"/>
          <w:szCs w:val="22"/>
          <w:lang w:val="uk-UA"/>
        </w:rPr>
        <w:tab/>
      </w:r>
      <w:r w:rsidR="008A321D">
        <w:rPr>
          <w:sz w:val="22"/>
          <w:szCs w:val="22"/>
          <w:lang w:val="uk-UA"/>
        </w:rPr>
        <w:t>Якщо С</w:t>
      </w:r>
      <w:r w:rsidR="00137117" w:rsidRPr="007C5FA9">
        <w:rPr>
          <w:sz w:val="22"/>
          <w:szCs w:val="22"/>
          <w:lang w:val="uk-UA"/>
        </w:rPr>
        <w:t xml:space="preserve">торона надає запит на інформацію або документи, відправник зобов'язаний надати необхідну інформацію протягом </w:t>
      </w:r>
      <w:r w:rsidR="008A321D">
        <w:rPr>
          <w:sz w:val="22"/>
          <w:szCs w:val="22"/>
          <w:lang w:val="uk-UA"/>
        </w:rPr>
        <w:t>спільно визначеного</w:t>
      </w:r>
      <w:r w:rsidR="00137117" w:rsidRPr="007C5FA9">
        <w:rPr>
          <w:sz w:val="22"/>
          <w:szCs w:val="22"/>
          <w:lang w:val="uk-UA"/>
        </w:rPr>
        <w:t xml:space="preserve"> терміну, без необґрунтованої затримки, але не пізніше допустимого терміну, необхідного для надання </w:t>
      </w:r>
      <w:r w:rsidR="004F19FC">
        <w:rPr>
          <w:sz w:val="22"/>
          <w:szCs w:val="22"/>
          <w:lang w:val="uk-UA"/>
        </w:rPr>
        <w:t>документів</w:t>
      </w:r>
      <w:r w:rsidR="004F19FC" w:rsidRPr="004F19FC">
        <w:rPr>
          <w:sz w:val="22"/>
          <w:szCs w:val="22"/>
          <w:lang w:val="uk-UA"/>
        </w:rPr>
        <w:t xml:space="preserve"> за результатами перевірки </w:t>
      </w:r>
      <w:r w:rsidR="00137117" w:rsidRPr="007C5FA9">
        <w:rPr>
          <w:sz w:val="22"/>
          <w:szCs w:val="22"/>
          <w:lang w:val="uk-UA"/>
        </w:rPr>
        <w:t>Спільному технічному секретаріату.</w:t>
      </w:r>
      <w:r w:rsidRPr="007C5FA9">
        <w:rPr>
          <w:sz w:val="22"/>
          <w:szCs w:val="22"/>
          <w:lang w:val="uk-UA"/>
        </w:rPr>
        <w:t xml:space="preserve"> </w:t>
      </w:r>
    </w:p>
    <w:p w:rsidR="00BE05DC" w:rsidRPr="007C5FA9" w:rsidRDefault="00137117" w:rsidP="00BE05DC">
      <w:pPr>
        <w:tabs>
          <w:tab w:val="left" w:pos="1134"/>
        </w:tabs>
        <w:spacing w:before="240" w:after="120"/>
        <w:ind w:left="1134" w:hanging="1134"/>
        <w:rPr>
          <w:b/>
          <w:lang w:val="uk-UA"/>
        </w:rPr>
      </w:pPr>
      <w:r w:rsidRPr="007C5FA9">
        <w:rPr>
          <w:b/>
          <w:lang w:val="uk-UA"/>
        </w:rPr>
        <w:t>Стаття</w:t>
      </w:r>
      <w:r w:rsidR="00BE05DC" w:rsidRPr="007C5FA9">
        <w:rPr>
          <w:b/>
          <w:lang w:val="uk-UA"/>
        </w:rPr>
        <w:t xml:space="preserve"> 6.</w:t>
      </w:r>
      <w:r w:rsidR="00BE05DC" w:rsidRPr="007C5FA9">
        <w:rPr>
          <w:b/>
          <w:lang w:val="uk-UA"/>
        </w:rPr>
        <w:tab/>
      </w:r>
      <w:r w:rsidR="00603B9E">
        <w:rPr>
          <w:b/>
          <w:lang w:val="uk-UA"/>
        </w:rPr>
        <w:t>Виконання</w:t>
      </w:r>
      <w:r w:rsidRPr="007C5FA9">
        <w:rPr>
          <w:b/>
          <w:lang w:val="uk-UA"/>
        </w:rPr>
        <w:t xml:space="preserve"> завдань та </w:t>
      </w:r>
      <w:r w:rsidR="00603B9E">
        <w:rPr>
          <w:b/>
          <w:lang w:val="uk-UA"/>
        </w:rPr>
        <w:t>порушення термінів</w:t>
      </w:r>
    </w:p>
    <w:p w:rsidR="00BE05DC" w:rsidRPr="007C5FA9" w:rsidRDefault="00BE05DC" w:rsidP="00BE05DC">
      <w:pPr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6.1</w:t>
      </w:r>
      <w:r w:rsidRPr="007C5FA9">
        <w:rPr>
          <w:b/>
          <w:sz w:val="22"/>
          <w:szCs w:val="22"/>
          <w:lang w:val="uk-UA"/>
        </w:rPr>
        <w:tab/>
      </w:r>
      <w:r w:rsidRPr="007C5FA9">
        <w:rPr>
          <w:sz w:val="22"/>
          <w:szCs w:val="22"/>
          <w:lang w:val="uk-UA"/>
        </w:rPr>
        <w:t>[</w:t>
      </w:r>
      <w:r w:rsidR="004F5FD9">
        <w:rPr>
          <w:sz w:val="22"/>
          <w:szCs w:val="22"/>
          <w:highlight w:val="lightGray"/>
          <w:lang w:val="uk-UA"/>
        </w:rPr>
        <w:t>Датою</w:t>
      </w:r>
      <w:r w:rsidR="00603B9E">
        <w:rPr>
          <w:sz w:val="22"/>
          <w:szCs w:val="22"/>
          <w:highlight w:val="lightGray"/>
          <w:lang w:val="uk-UA"/>
        </w:rPr>
        <w:t xml:space="preserve"> початку виконання завдань</w:t>
      </w:r>
      <w:r w:rsidR="00F50AAC" w:rsidRPr="007C5FA9">
        <w:rPr>
          <w:sz w:val="22"/>
          <w:szCs w:val="22"/>
          <w:lang w:val="uk-UA"/>
        </w:rPr>
        <w:t xml:space="preserve"> </w:t>
      </w:r>
      <w:r w:rsidR="004F5FD9">
        <w:rPr>
          <w:sz w:val="22"/>
          <w:szCs w:val="22"/>
          <w:lang w:val="uk-UA"/>
        </w:rPr>
        <w:t xml:space="preserve">є </w:t>
      </w:r>
      <w:r w:rsidR="00C62243">
        <w:rPr>
          <w:sz w:val="22"/>
          <w:szCs w:val="22"/>
        </w:rPr>
        <w:t>&lt;</w:t>
      </w:r>
      <w:r w:rsidR="004F5FD9">
        <w:rPr>
          <w:sz w:val="22"/>
          <w:szCs w:val="22"/>
          <w:lang w:val="uk-UA"/>
        </w:rPr>
        <w:t>дата підписання Договору обома С</w:t>
      </w:r>
      <w:r w:rsidR="00F50AAC" w:rsidRPr="007C5FA9">
        <w:rPr>
          <w:sz w:val="22"/>
          <w:szCs w:val="22"/>
          <w:lang w:val="uk-UA"/>
        </w:rPr>
        <w:t xml:space="preserve">торонами </w:t>
      </w:r>
      <w:r w:rsidRPr="007C5FA9">
        <w:rPr>
          <w:sz w:val="22"/>
          <w:szCs w:val="22"/>
          <w:lang w:val="uk-UA"/>
        </w:rPr>
        <w:t>&gt;]</w:t>
      </w:r>
    </w:p>
    <w:p w:rsidR="00BE05DC" w:rsidRPr="006A0FB1" w:rsidRDefault="00BE05DC" w:rsidP="00BE05DC">
      <w:pPr>
        <w:spacing w:after="120"/>
        <w:ind w:left="567" w:hanging="567"/>
        <w:jc w:val="both"/>
        <w:rPr>
          <w:sz w:val="22"/>
          <w:szCs w:val="22"/>
          <w:lang w:val="ru-RU"/>
        </w:rPr>
      </w:pPr>
      <w:r w:rsidRPr="007C5FA9">
        <w:rPr>
          <w:sz w:val="22"/>
          <w:szCs w:val="22"/>
          <w:lang w:val="uk-UA"/>
        </w:rPr>
        <w:t>6.2</w:t>
      </w:r>
      <w:r w:rsidRPr="007C5FA9">
        <w:rPr>
          <w:sz w:val="22"/>
          <w:szCs w:val="22"/>
          <w:lang w:val="uk-UA"/>
        </w:rPr>
        <w:tab/>
      </w:r>
      <w:r w:rsidR="00F50AAC" w:rsidRPr="007C5FA9">
        <w:rPr>
          <w:sz w:val="22"/>
          <w:szCs w:val="22"/>
          <w:lang w:val="uk-UA"/>
        </w:rPr>
        <w:t xml:space="preserve">Період надання </w:t>
      </w:r>
      <w:r w:rsidR="006A0FB1">
        <w:rPr>
          <w:sz w:val="22"/>
          <w:szCs w:val="22"/>
          <w:lang w:val="uk-UA"/>
        </w:rPr>
        <w:t>аудиторського висновку</w:t>
      </w:r>
      <w:r w:rsidR="00F50AAC" w:rsidRPr="007C5FA9">
        <w:rPr>
          <w:sz w:val="22"/>
          <w:szCs w:val="22"/>
          <w:lang w:val="uk-UA"/>
        </w:rPr>
        <w:t xml:space="preserve"> </w:t>
      </w:r>
      <w:proofErr w:type="spellStart"/>
      <w:r w:rsidR="00F50AAC" w:rsidRPr="007C5FA9">
        <w:rPr>
          <w:sz w:val="22"/>
          <w:szCs w:val="22"/>
          <w:lang w:val="uk-UA"/>
        </w:rPr>
        <w:t>Бенефіціару</w:t>
      </w:r>
      <w:proofErr w:type="spellEnd"/>
      <w:r w:rsidR="00F50AAC" w:rsidRPr="007C5FA9">
        <w:rPr>
          <w:sz w:val="22"/>
          <w:szCs w:val="22"/>
          <w:lang w:val="uk-UA"/>
        </w:rPr>
        <w:t xml:space="preserve"> становить</w:t>
      </w:r>
      <w:r w:rsidRPr="007C5FA9">
        <w:rPr>
          <w:sz w:val="22"/>
          <w:szCs w:val="22"/>
          <w:lang w:val="uk-UA"/>
        </w:rPr>
        <w:t xml:space="preserve"> &lt;30&gt; </w:t>
      </w:r>
      <w:r w:rsidR="00F50AAC" w:rsidRPr="007C5FA9">
        <w:rPr>
          <w:sz w:val="22"/>
          <w:szCs w:val="22"/>
          <w:lang w:val="uk-UA"/>
        </w:rPr>
        <w:t>календарних днів з моменту подання Бенефіціаром кожного звіту про хід реалізації проекту</w:t>
      </w:r>
      <w:r w:rsidRPr="007C5FA9">
        <w:rPr>
          <w:sz w:val="22"/>
          <w:szCs w:val="22"/>
          <w:lang w:val="uk-UA"/>
        </w:rPr>
        <w:t>.</w:t>
      </w:r>
    </w:p>
    <w:p w:rsidR="00253F06" w:rsidRPr="007C5FA9" w:rsidRDefault="00292507" w:rsidP="006B59B0">
      <w:p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lastRenderedPageBreak/>
        <w:t xml:space="preserve">6.3 </w:t>
      </w:r>
      <w:r w:rsidR="00CD1049" w:rsidRPr="007C5FA9">
        <w:rPr>
          <w:sz w:val="22"/>
          <w:szCs w:val="22"/>
          <w:lang w:val="uk-UA"/>
        </w:rPr>
        <w:tab/>
      </w:r>
      <w:r w:rsidR="00F50AAC" w:rsidRPr="007C5FA9">
        <w:rPr>
          <w:sz w:val="22"/>
          <w:szCs w:val="22"/>
          <w:lang w:val="uk-UA"/>
        </w:rPr>
        <w:t xml:space="preserve">Бенефіціар повинен надати Аудитору </w:t>
      </w:r>
      <w:r w:rsidR="007F429B">
        <w:rPr>
          <w:sz w:val="22"/>
          <w:szCs w:val="22"/>
          <w:lang w:val="uk-UA"/>
        </w:rPr>
        <w:t xml:space="preserve">для перевірки </w:t>
      </w:r>
      <w:r w:rsidR="00F50AAC" w:rsidRPr="007C5FA9">
        <w:rPr>
          <w:sz w:val="22"/>
          <w:szCs w:val="22"/>
          <w:lang w:val="uk-UA"/>
        </w:rPr>
        <w:t xml:space="preserve">звіт про хід реалізації проекту не пізніше ніж </w:t>
      </w:r>
      <w:r w:rsidR="006A0FB1">
        <w:rPr>
          <w:sz w:val="22"/>
          <w:szCs w:val="22"/>
          <w:lang w:val="uk-UA"/>
        </w:rPr>
        <w:t xml:space="preserve">через </w:t>
      </w:r>
      <w:r w:rsidR="00F50AAC" w:rsidRPr="007C5FA9">
        <w:rPr>
          <w:sz w:val="22"/>
          <w:szCs w:val="22"/>
          <w:lang w:val="uk-UA"/>
        </w:rPr>
        <w:t>14 календарних дні</w:t>
      </w:r>
      <w:r w:rsidR="00EC5657">
        <w:rPr>
          <w:sz w:val="22"/>
          <w:szCs w:val="22"/>
          <w:lang w:val="uk-UA"/>
        </w:rPr>
        <w:t>в</w:t>
      </w:r>
      <w:r w:rsidR="00F50AAC" w:rsidRPr="007C5FA9">
        <w:rPr>
          <w:sz w:val="22"/>
          <w:szCs w:val="22"/>
          <w:lang w:val="uk-UA"/>
        </w:rPr>
        <w:t xml:space="preserve"> після </w:t>
      </w:r>
      <w:r w:rsidR="00EC5657">
        <w:rPr>
          <w:sz w:val="22"/>
          <w:szCs w:val="22"/>
          <w:lang w:val="uk-UA"/>
        </w:rPr>
        <w:t>завершення</w:t>
      </w:r>
      <w:r w:rsidR="00F50AAC" w:rsidRPr="007C5FA9">
        <w:rPr>
          <w:sz w:val="22"/>
          <w:szCs w:val="22"/>
          <w:lang w:val="uk-UA"/>
        </w:rPr>
        <w:t xml:space="preserve"> звітного періоду</w:t>
      </w:r>
      <w:r w:rsidR="00C9705E" w:rsidRPr="007C5FA9">
        <w:rPr>
          <w:sz w:val="22"/>
          <w:szCs w:val="22"/>
          <w:lang w:val="uk-UA"/>
        </w:rPr>
        <w:t xml:space="preserve">. </w:t>
      </w:r>
      <w:r w:rsidR="00253F06" w:rsidRPr="007C5FA9">
        <w:rPr>
          <w:sz w:val="22"/>
          <w:szCs w:val="22"/>
          <w:lang w:val="uk-UA"/>
        </w:rPr>
        <w:t xml:space="preserve"> </w:t>
      </w:r>
    </w:p>
    <w:p w:rsidR="00BE05DC" w:rsidRPr="007C5FA9" w:rsidRDefault="00F50AAC" w:rsidP="00BE05DC">
      <w:pPr>
        <w:spacing w:after="120"/>
        <w:ind w:left="567" w:hanging="567"/>
        <w:jc w:val="both"/>
        <w:rPr>
          <w:b/>
          <w:lang w:val="uk-UA"/>
        </w:rPr>
      </w:pPr>
      <w:r w:rsidRPr="007C5FA9">
        <w:rPr>
          <w:b/>
          <w:lang w:val="uk-UA"/>
        </w:rPr>
        <w:t>Стаття</w:t>
      </w:r>
      <w:r w:rsidR="00BE05DC" w:rsidRPr="007C5FA9">
        <w:rPr>
          <w:b/>
          <w:lang w:val="uk-UA"/>
        </w:rPr>
        <w:t xml:space="preserve"> 7. </w:t>
      </w:r>
      <w:r w:rsidRPr="007C5FA9">
        <w:rPr>
          <w:b/>
          <w:lang w:val="uk-UA"/>
        </w:rPr>
        <w:t>Відповідальність</w:t>
      </w:r>
    </w:p>
    <w:p w:rsidR="00BE05DC" w:rsidRPr="007C5FA9" w:rsidRDefault="00BE05DC" w:rsidP="006B59B0">
      <w:p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7.1</w:t>
      </w:r>
      <w:r w:rsidRPr="007C5FA9">
        <w:rPr>
          <w:sz w:val="22"/>
          <w:szCs w:val="22"/>
          <w:lang w:val="uk-UA"/>
        </w:rPr>
        <w:tab/>
      </w:r>
      <w:r w:rsidR="002E2F40" w:rsidRPr="002E2F40">
        <w:rPr>
          <w:sz w:val="22"/>
          <w:szCs w:val="22"/>
          <w:lang w:val="uk-UA"/>
        </w:rPr>
        <w:t xml:space="preserve">Бенефіціар несе відповідальність за надання звіту про хід </w:t>
      </w:r>
      <w:r w:rsidR="002E2F40">
        <w:rPr>
          <w:sz w:val="22"/>
          <w:szCs w:val="22"/>
          <w:lang w:val="uk-UA"/>
        </w:rPr>
        <w:t xml:space="preserve">реалізації </w:t>
      </w:r>
      <w:r w:rsidR="002E2F40" w:rsidRPr="002E2F40">
        <w:rPr>
          <w:sz w:val="22"/>
          <w:szCs w:val="22"/>
          <w:lang w:val="uk-UA"/>
        </w:rPr>
        <w:t>заходів</w:t>
      </w:r>
      <w:r w:rsidR="002E2F40">
        <w:rPr>
          <w:sz w:val="22"/>
          <w:szCs w:val="22"/>
          <w:lang w:val="uk-UA"/>
        </w:rPr>
        <w:t xml:space="preserve"> проекту</w:t>
      </w:r>
      <w:r w:rsidR="002E2F40" w:rsidRPr="002E2F40">
        <w:rPr>
          <w:sz w:val="22"/>
          <w:szCs w:val="22"/>
          <w:lang w:val="uk-UA"/>
        </w:rPr>
        <w:t xml:space="preserve">, що фінансуються за Грантовим </w:t>
      </w:r>
      <w:r w:rsidR="002E2F40">
        <w:rPr>
          <w:sz w:val="22"/>
          <w:szCs w:val="22"/>
          <w:lang w:val="uk-UA"/>
        </w:rPr>
        <w:t>договор</w:t>
      </w:r>
      <w:r w:rsidR="002E2F40" w:rsidRPr="002E2F40">
        <w:rPr>
          <w:sz w:val="22"/>
          <w:szCs w:val="22"/>
          <w:lang w:val="uk-UA"/>
        </w:rPr>
        <w:t xml:space="preserve">ом, </w:t>
      </w:r>
      <w:r w:rsidR="002E2F40">
        <w:rPr>
          <w:sz w:val="22"/>
          <w:szCs w:val="22"/>
          <w:lang w:val="uk-UA"/>
        </w:rPr>
        <w:t xml:space="preserve">які </w:t>
      </w:r>
      <w:r w:rsidR="002E2F40" w:rsidRPr="002E2F40">
        <w:rPr>
          <w:sz w:val="22"/>
          <w:szCs w:val="22"/>
          <w:lang w:val="uk-UA"/>
        </w:rPr>
        <w:t>відповіда</w:t>
      </w:r>
      <w:r w:rsidR="002E2F40">
        <w:rPr>
          <w:sz w:val="22"/>
          <w:szCs w:val="22"/>
          <w:lang w:val="uk-UA"/>
        </w:rPr>
        <w:t>ють</w:t>
      </w:r>
      <w:r w:rsidR="002E2F40" w:rsidRPr="002E2F40">
        <w:rPr>
          <w:sz w:val="22"/>
          <w:szCs w:val="22"/>
          <w:lang w:val="uk-UA"/>
        </w:rPr>
        <w:t xml:space="preserve"> умовам Грантового </w:t>
      </w:r>
      <w:r w:rsidR="002E2F40">
        <w:rPr>
          <w:sz w:val="22"/>
          <w:szCs w:val="22"/>
          <w:lang w:val="uk-UA"/>
        </w:rPr>
        <w:t>договору</w:t>
      </w:r>
      <w:r w:rsidR="002E2F40" w:rsidRPr="002E2F40">
        <w:rPr>
          <w:sz w:val="22"/>
          <w:szCs w:val="22"/>
          <w:lang w:val="uk-UA"/>
        </w:rPr>
        <w:t xml:space="preserve">, а також за забезпечення того, що цей звіт про </w:t>
      </w:r>
      <w:r w:rsidR="002E2F40">
        <w:rPr>
          <w:sz w:val="22"/>
          <w:szCs w:val="22"/>
          <w:lang w:val="uk-UA"/>
        </w:rPr>
        <w:t xml:space="preserve">реалізацію проекту </w:t>
      </w:r>
      <w:r w:rsidR="002E2F40" w:rsidRPr="002E2F40">
        <w:rPr>
          <w:sz w:val="22"/>
          <w:szCs w:val="22"/>
          <w:lang w:val="uk-UA"/>
        </w:rPr>
        <w:t>може бути узгоджений з системою бухгалтерського обліку Бенефіціара та з основними рахунками та запис</w:t>
      </w:r>
      <w:r w:rsidR="002E2F40">
        <w:rPr>
          <w:sz w:val="22"/>
          <w:szCs w:val="22"/>
          <w:lang w:val="uk-UA"/>
        </w:rPr>
        <w:t>ам</w:t>
      </w:r>
      <w:r w:rsidR="002E2F40" w:rsidRPr="002E2F40">
        <w:rPr>
          <w:sz w:val="22"/>
          <w:szCs w:val="22"/>
          <w:lang w:val="uk-UA"/>
        </w:rPr>
        <w:t>и</w:t>
      </w:r>
      <w:r w:rsidRPr="007C5FA9">
        <w:rPr>
          <w:sz w:val="22"/>
          <w:szCs w:val="22"/>
          <w:lang w:val="uk-UA"/>
        </w:rPr>
        <w:t xml:space="preserve">. </w:t>
      </w:r>
    </w:p>
    <w:p w:rsidR="00BE05DC" w:rsidRPr="007C5FA9" w:rsidRDefault="00BE05DC" w:rsidP="006B59B0">
      <w:p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7.2</w:t>
      </w:r>
      <w:r w:rsidRPr="007C5FA9">
        <w:rPr>
          <w:sz w:val="22"/>
          <w:szCs w:val="22"/>
          <w:lang w:val="uk-UA"/>
        </w:rPr>
        <w:tab/>
      </w:r>
      <w:r w:rsidR="002E2F40" w:rsidRPr="002E2F40">
        <w:rPr>
          <w:sz w:val="22"/>
          <w:szCs w:val="22"/>
          <w:lang w:val="uk-UA"/>
        </w:rPr>
        <w:t xml:space="preserve">Бенефіціар зобов'язаний надати Аудитору вільний доступ до своїх бухгалтерських, </w:t>
      </w:r>
      <w:r w:rsidR="002E2F40">
        <w:rPr>
          <w:sz w:val="22"/>
          <w:szCs w:val="22"/>
          <w:lang w:val="uk-UA"/>
        </w:rPr>
        <w:t>підтверджуюч</w:t>
      </w:r>
      <w:r w:rsidR="002E2F40" w:rsidRPr="002E2F40">
        <w:rPr>
          <w:sz w:val="22"/>
          <w:szCs w:val="22"/>
          <w:lang w:val="uk-UA"/>
        </w:rPr>
        <w:t xml:space="preserve">их документів та документації </w:t>
      </w:r>
      <w:r w:rsidR="002E2F40">
        <w:rPr>
          <w:sz w:val="22"/>
          <w:szCs w:val="22"/>
          <w:lang w:val="uk-UA"/>
        </w:rPr>
        <w:t xml:space="preserve">по проекту </w:t>
      </w:r>
      <w:r w:rsidR="002E2F40" w:rsidRPr="002E2F40">
        <w:rPr>
          <w:sz w:val="22"/>
          <w:szCs w:val="22"/>
          <w:lang w:val="uk-UA"/>
        </w:rPr>
        <w:t xml:space="preserve">та </w:t>
      </w:r>
      <w:r w:rsidR="007976BB">
        <w:rPr>
          <w:sz w:val="22"/>
          <w:szCs w:val="22"/>
          <w:lang w:val="uk-UA"/>
        </w:rPr>
        <w:t>матеріальних</w:t>
      </w:r>
      <w:r w:rsidR="002E2F40" w:rsidRPr="002E2F40">
        <w:rPr>
          <w:sz w:val="22"/>
          <w:szCs w:val="22"/>
          <w:lang w:val="uk-UA"/>
        </w:rPr>
        <w:t xml:space="preserve"> </w:t>
      </w:r>
      <w:r w:rsidR="007976BB">
        <w:rPr>
          <w:sz w:val="22"/>
          <w:szCs w:val="22"/>
          <w:lang w:val="uk-UA"/>
        </w:rPr>
        <w:t>об</w:t>
      </w:r>
      <w:r w:rsidR="007976BB" w:rsidRPr="007976BB">
        <w:rPr>
          <w:sz w:val="22"/>
          <w:szCs w:val="22"/>
          <w:lang w:val="uk-UA"/>
        </w:rPr>
        <w:t>’</w:t>
      </w:r>
      <w:r w:rsidR="007976BB">
        <w:rPr>
          <w:sz w:val="22"/>
          <w:szCs w:val="22"/>
          <w:lang w:val="uk-UA"/>
        </w:rPr>
        <w:t xml:space="preserve">єктів </w:t>
      </w:r>
      <w:r w:rsidR="002E2F40" w:rsidRPr="002E2F40">
        <w:rPr>
          <w:sz w:val="22"/>
          <w:szCs w:val="22"/>
          <w:lang w:val="uk-UA"/>
        </w:rPr>
        <w:t xml:space="preserve">інвестицій, щоб процедури, описані в додатку I, могли відбуватися у встановлені терміни і без обмежень. Бенефіціар несе відповідальність за надання </w:t>
      </w:r>
      <w:r w:rsidR="007976BB">
        <w:rPr>
          <w:sz w:val="22"/>
          <w:szCs w:val="22"/>
          <w:lang w:val="uk-UA"/>
        </w:rPr>
        <w:t>необхідної</w:t>
      </w:r>
      <w:r w:rsidR="002E2F40" w:rsidRPr="002E2F40">
        <w:rPr>
          <w:sz w:val="22"/>
          <w:szCs w:val="22"/>
          <w:lang w:val="uk-UA"/>
        </w:rPr>
        <w:t xml:space="preserve"> та </w:t>
      </w:r>
      <w:r w:rsidR="002E2F40">
        <w:rPr>
          <w:sz w:val="22"/>
          <w:szCs w:val="22"/>
          <w:lang w:val="uk-UA"/>
        </w:rPr>
        <w:t>н</w:t>
      </w:r>
      <w:r w:rsidR="002E2F40" w:rsidRPr="002E2F40">
        <w:rPr>
          <w:sz w:val="22"/>
          <w:szCs w:val="22"/>
          <w:lang w:val="uk-UA"/>
        </w:rPr>
        <w:t>а</w:t>
      </w:r>
      <w:r w:rsidR="002E2F40">
        <w:rPr>
          <w:sz w:val="22"/>
          <w:szCs w:val="22"/>
          <w:lang w:val="uk-UA"/>
        </w:rPr>
        <w:t>л</w:t>
      </w:r>
      <w:r w:rsidR="002E2F40" w:rsidRPr="002E2F40">
        <w:rPr>
          <w:sz w:val="22"/>
          <w:szCs w:val="22"/>
          <w:lang w:val="uk-UA"/>
        </w:rPr>
        <w:t>е</w:t>
      </w:r>
      <w:r w:rsidR="002E2F40">
        <w:rPr>
          <w:sz w:val="22"/>
          <w:szCs w:val="22"/>
          <w:lang w:val="uk-UA"/>
        </w:rPr>
        <w:t>ж</w:t>
      </w:r>
      <w:r w:rsidR="002E2F40" w:rsidRPr="002E2F40">
        <w:rPr>
          <w:sz w:val="22"/>
          <w:szCs w:val="22"/>
          <w:lang w:val="uk-UA"/>
        </w:rPr>
        <w:t>ної інформації, як фінансової, так і нефінансової, на підт</w:t>
      </w:r>
      <w:r w:rsidR="002E2F40">
        <w:rPr>
          <w:sz w:val="22"/>
          <w:szCs w:val="22"/>
          <w:lang w:val="uk-UA"/>
        </w:rPr>
        <w:t xml:space="preserve">вердження </w:t>
      </w:r>
      <w:r w:rsidR="002E2F40" w:rsidRPr="002E2F40">
        <w:rPr>
          <w:sz w:val="22"/>
          <w:szCs w:val="22"/>
          <w:lang w:val="uk-UA"/>
        </w:rPr>
        <w:t xml:space="preserve">звіту про хід </w:t>
      </w:r>
      <w:r w:rsidR="007976BB">
        <w:rPr>
          <w:sz w:val="22"/>
          <w:szCs w:val="22"/>
          <w:lang w:val="uk-UA"/>
        </w:rPr>
        <w:t>реалізації</w:t>
      </w:r>
      <w:r w:rsidR="002E2F40">
        <w:rPr>
          <w:sz w:val="22"/>
          <w:szCs w:val="22"/>
          <w:lang w:val="uk-UA"/>
        </w:rPr>
        <w:t xml:space="preserve"> проекту</w:t>
      </w:r>
      <w:r w:rsidR="002E2F40" w:rsidRPr="002E2F40">
        <w:rPr>
          <w:sz w:val="22"/>
          <w:szCs w:val="22"/>
          <w:lang w:val="uk-UA"/>
        </w:rPr>
        <w:t>.</w:t>
      </w:r>
    </w:p>
    <w:p w:rsidR="00BE05DC" w:rsidRPr="007C5FA9" w:rsidRDefault="002E2F40" w:rsidP="006B59B0">
      <w:pPr>
        <w:pStyle w:val="Akapitzlist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sz w:val="22"/>
          <w:szCs w:val="22"/>
          <w:lang w:val="uk-UA"/>
        </w:rPr>
      </w:pPr>
      <w:r w:rsidRPr="002E2F40">
        <w:rPr>
          <w:sz w:val="22"/>
          <w:szCs w:val="22"/>
          <w:lang w:val="uk-UA"/>
        </w:rPr>
        <w:t xml:space="preserve">Бенефіціар погоджується з тим, що </w:t>
      </w:r>
      <w:r>
        <w:rPr>
          <w:sz w:val="22"/>
          <w:szCs w:val="22"/>
          <w:lang w:val="uk-UA"/>
        </w:rPr>
        <w:t>спроможність</w:t>
      </w:r>
      <w:r w:rsidRPr="002E2F40">
        <w:rPr>
          <w:sz w:val="22"/>
          <w:szCs w:val="22"/>
          <w:lang w:val="uk-UA"/>
        </w:rPr>
        <w:t xml:space="preserve"> Аудитора виконувати аудиторські п</w:t>
      </w:r>
      <w:r w:rsidR="008500DF">
        <w:rPr>
          <w:sz w:val="22"/>
          <w:szCs w:val="22"/>
          <w:lang w:val="uk-UA"/>
        </w:rPr>
        <w:t>роцедури, що визначені в цьому Договорі</w:t>
      </w:r>
      <w:r w:rsidRPr="002E2F40">
        <w:rPr>
          <w:sz w:val="22"/>
          <w:szCs w:val="22"/>
          <w:lang w:val="uk-UA"/>
        </w:rPr>
        <w:t xml:space="preserve">, </w:t>
      </w:r>
      <w:r w:rsidR="008500DF">
        <w:rPr>
          <w:sz w:val="22"/>
          <w:szCs w:val="22"/>
          <w:lang w:val="uk-UA"/>
        </w:rPr>
        <w:t>без</w:t>
      </w:r>
      <w:r w:rsidR="006B59B0">
        <w:rPr>
          <w:sz w:val="22"/>
          <w:szCs w:val="22"/>
          <w:lang w:val="uk-UA"/>
        </w:rPr>
        <w:t>пос</w:t>
      </w:r>
      <w:r w:rsidR="008500DF">
        <w:rPr>
          <w:sz w:val="22"/>
          <w:szCs w:val="22"/>
          <w:lang w:val="uk-UA"/>
        </w:rPr>
        <w:t>е</w:t>
      </w:r>
      <w:r w:rsidR="006B59B0">
        <w:rPr>
          <w:sz w:val="22"/>
          <w:szCs w:val="22"/>
          <w:lang w:val="uk-UA"/>
        </w:rPr>
        <w:t>редньо з</w:t>
      </w:r>
      <w:r w:rsidRPr="002E2F40">
        <w:rPr>
          <w:sz w:val="22"/>
          <w:szCs w:val="22"/>
          <w:lang w:val="uk-UA"/>
        </w:rPr>
        <w:t>алежить від Бенефіціара,</w:t>
      </w:r>
      <w:r w:rsidR="008500DF">
        <w:rPr>
          <w:color w:val="FF0000"/>
          <w:sz w:val="22"/>
          <w:szCs w:val="22"/>
          <w:lang w:val="uk-UA"/>
        </w:rPr>
        <w:t xml:space="preserve"> </w:t>
      </w:r>
      <w:r w:rsidR="008500DF" w:rsidRPr="008500DF">
        <w:rPr>
          <w:color w:val="000000" w:themeColor="text1"/>
          <w:sz w:val="22"/>
          <w:szCs w:val="22"/>
          <w:lang w:val="uk-UA"/>
        </w:rPr>
        <w:t>також</w:t>
      </w:r>
      <w:r w:rsidRPr="008500DF">
        <w:rPr>
          <w:color w:val="000000" w:themeColor="text1"/>
          <w:sz w:val="22"/>
          <w:szCs w:val="22"/>
          <w:lang w:val="uk-UA"/>
        </w:rPr>
        <w:t xml:space="preserve">, </w:t>
      </w:r>
      <w:r w:rsidR="006B59B0" w:rsidRPr="008500DF">
        <w:rPr>
          <w:color w:val="000000" w:themeColor="text1"/>
          <w:sz w:val="22"/>
          <w:szCs w:val="22"/>
          <w:lang w:val="uk-UA"/>
        </w:rPr>
        <w:t xml:space="preserve">Бенефіціар </w:t>
      </w:r>
      <w:r w:rsidR="008500DF" w:rsidRPr="008500DF">
        <w:rPr>
          <w:color w:val="000000" w:themeColor="text1"/>
          <w:sz w:val="22"/>
          <w:szCs w:val="22"/>
          <w:lang w:val="uk-UA"/>
        </w:rPr>
        <w:t>надає</w:t>
      </w:r>
      <w:r w:rsidRPr="008500DF">
        <w:rPr>
          <w:color w:val="000000" w:themeColor="text1"/>
          <w:sz w:val="22"/>
          <w:szCs w:val="22"/>
          <w:lang w:val="uk-UA"/>
        </w:rPr>
        <w:t xml:space="preserve"> </w:t>
      </w:r>
      <w:r w:rsidR="00F61229">
        <w:rPr>
          <w:color w:val="000000" w:themeColor="text1"/>
          <w:sz w:val="22"/>
          <w:szCs w:val="22"/>
          <w:lang w:val="uk-UA"/>
        </w:rPr>
        <w:t xml:space="preserve">Аудитору </w:t>
      </w:r>
      <w:r w:rsidRPr="008500DF">
        <w:rPr>
          <w:color w:val="000000" w:themeColor="text1"/>
          <w:sz w:val="22"/>
          <w:szCs w:val="22"/>
          <w:lang w:val="uk-UA"/>
        </w:rPr>
        <w:t xml:space="preserve">повний </w:t>
      </w:r>
      <w:r w:rsidRPr="002E2F40">
        <w:rPr>
          <w:sz w:val="22"/>
          <w:szCs w:val="22"/>
          <w:lang w:val="uk-UA"/>
        </w:rPr>
        <w:t>і вільний доступ до персоналу Б</w:t>
      </w:r>
      <w:r w:rsidR="00F61229">
        <w:rPr>
          <w:sz w:val="22"/>
          <w:szCs w:val="22"/>
          <w:lang w:val="uk-UA"/>
        </w:rPr>
        <w:t xml:space="preserve">енефіціара, </w:t>
      </w:r>
      <w:r w:rsidRPr="002E2F40">
        <w:rPr>
          <w:sz w:val="22"/>
          <w:szCs w:val="22"/>
          <w:lang w:val="uk-UA"/>
        </w:rPr>
        <w:t xml:space="preserve">його </w:t>
      </w:r>
      <w:r>
        <w:rPr>
          <w:sz w:val="22"/>
          <w:szCs w:val="22"/>
          <w:lang w:val="uk-UA"/>
        </w:rPr>
        <w:t>системи</w:t>
      </w:r>
      <w:r w:rsidRPr="002E2F40">
        <w:rPr>
          <w:sz w:val="22"/>
          <w:szCs w:val="22"/>
          <w:lang w:val="uk-UA"/>
        </w:rPr>
        <w:t xml:space="preserve"> бухгалтерсько</w:t>
      </w:r>
      <w:r>
        <w:rPr>
          <w:sz w:val="22"/>
          <w:szCs w:val="22"/>
          <w:lang w:val="uk-UA"/>
        </w:rPr>
        <w:t>го обліку</w:t>
      </w:r>
      <w:r w:rsidRPr="002E2F40">
        <w:rPr>
          <w:sz w:val="22"/>
          <w:szCs w:val="22"/>
          <w:lang w:val="uk-UA"/>
        </w:rPr>
        <w:t xml:space="preserve"> та основн</w:t>
      </w:r>
      <w:r>
        <w:rPr>
          <w:sz w:val="22"/>
          <w:szCs w:val="22"/>
          <w:lang w:val="uk-UA"/>
        </w:rPr>
        <w:t>их</w:t>
      </w:r>
      <w:r w:rsidRPr="002E2F40">
        <w:rPr>
          <w:sz w:val="22"/>
          <w:szCs w:val="22"/>
          <w:lang w:val="uk-UA"/>
        </w:rPr>
        <w:t xml:space="preserve"> рахунк</w:t>
      </w:r>
      <w:r>
        <w:rPr>
          <w:sz w:val="22"/>
          <w:szCs w:val="22"/>
          <w:lang w:val="uk-UA"/>
        </w:rPr>
        <w:t>ів</w:t>
      </w:r>
      <w:r w:rsidRPr="002E2F40">
        <w:rPr>
          <w:sz w:val="22"/>
          <w:szCs w:val="22"/>
          <w:lang w:val="uk-UA"/>
        </w:rPr>
        <w:t xml:space="preserve"> та запис</w:t>
      </w:r>
      <w:r>
        <w:rPr>
          <w:sz w:val="22"/>
          <w:szCs w:val="22"/>
          <w:lang w:val="uk-UA"/>
        </w:rPr>
        <w:t>ів</w:t>
      </w:r>
      <w:r w:rsidRPr="002E2F40">
        <w:rPr>
          <w:sz w:val="22"/>
          <w:szCs w:val="22"/>
          <w:lang w:val="uk-UA"/>
        </w:rPr>
        <w:t>.</w:t>
      </w:r>
    </w:p>
    <w:p w:rsidR="006B59B0" w:rsidRDefault="006B59B0" w:rsidP="00E21BD9">
      <w:pPr>
        <w:pStyle w:val="Akapitzlist"/>
        <w:numPr>
          <w:ilvl w:val="1"/>
          <w:numId w:val="3"/>
        </w:num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6B59B0">
        <w:rPr>
          <w:sz w:val="22"/>
          <w:szCs w:val="22"/>
          <w:lang w:val="uk-UA"/>
        </w:rPr>
        <w:t xml:space="preserve">Аудитор несе відповідальність за проведення аудиторських процедур, описаних у </w:t>
      </w:r>
      <w:r>
        <w:rPr>
          <w:sz w:val="22"/>
          <w:szCs w:val="22"/>
          <w:lang w:val="uk-UA"/>
        </w:rPr>
        <w:t xml:space="preserve">Посібнику </w:t>
      </w:r>
      <w:r w:rsidRPr="006B59B0">
        <w:rPr>
          <w:sz w:val="22"/>
          <w:szCs w:val="22"/>
          <w:lang w:val="uk-UA"/>
        </w:rPr>
        <w:t>з перевірки витрат</w:t>
      </w:r>
      <w:r>
        <w:rPr>
          <w:sz w:val="22"/>
          <w:szCs w:val="22"/>
          <w:lang w:val="uk-UA"/>
        </w:rPr>
        <w:t>,</w:t>
      </w:r>
      <w:r w:rsidRPr="006B59B0">
        <w:rPr>
          <w:sz w:val="22"/>
          <w:szCs w:val="22"/>
          <w:lang w:val="uk-UA"/>
        </w:rPr>
        <w:t xml:space="preserve"> з належною ретельністю та повним дотриманням зазначених стандартів та етики, та пода</w:t>
      </w:r>
      <w:r>
        <w:rPr>
          <w:sz w:val="22"/>
          <w:szCs w:val="22"/>
          <w:lang w:val="uk-UA"/>
        </w:rPr>
        <w:t>є</w:t>
      </w:r>
      <w:r w:rsidRPr="006B59B0">
        <w:rPr>
          <w:sz w:val="22"/>
          <w:szCs w:val="22"/>
          <w:lang w:val="uk-UA"/>
        </w:rPr>
        <w:t xml:space="preserve"> </w:t>
      </w:r>
      <w:proofErr w:type="spellStart"/>
      <w:r w:rsidRPr="006B59B0">
        <w:rPr>
          <w:sz w:val="22"/>
          <w:szCs w:val="22"/>
          <w:lang w:val="uk-UA"/>
        </w:rPr>
        <w:t>Бенефіціару</w:t>
      </w:r>
      <w:proofErr w:type="spellEnd"/>
      <w:r w:rsidRPr="006B59B0">
        <w:rPr>
          <w:sz w:val="22"/>
          <w:szCs w:val="22"/>
          <w:lang w:val="uk-UA"/>
        </w:rPr>
        <w:t xml:space="preserve"> </w:t>
      </w:r>
      <w:r w:rsidR="0027565B">
        <w:rPr>
          <w:sz w:val="22"/>
          <w:szCs w:val="22"/>
          <w:lang w:val="uk-UA"/>
        </w:rPr>
        <w:t>аудиторські висновки</w:t>
      </w:r>
      <w:r w:rsidRPr="006B59B0">
        <w:rPr>
          <w:sz w:val="22"/>
          <w:szCs w:val="22"/>
          <w:lang w:val="uk-UA"/>
        </w:rPr>
        <w:t xml:space="preserve"> щодо конкретних процедур </w:t>
      </w:r>
      <w:r>
        <w:rPr>
          <w:sz w:val="22"/>
          <w:szCs w:val="22"/>
          <w:lang w:val="uk-UA"/>
        </w:rPr>
        <w:t xml:space="preserve">перевірки, </w:t>
      </w:r>
      <w:r w:rsidRPr="006B59B0">
        <w:rPr>
          <w:sz w:val="22"/>
          <w:szCs w:val="22"/>
          <w:lang w:val="uk-UA"/>
        </w:rPr>
        <w:t>викон</w:t>
      </w:r>
      <w:r>
        <w:rPr>
          <w:sz w:val="22"/>
          <w:szCs w:val="22"/>
          <w:lang w:val="uk-UA"/>
        </w:rPr>
        <w:t>аних</w:t>
      </w:r>
      <w:r w:rsidRPr="006B59B0">
        <w:rPr>
          <w:sz w:val="22"/>
          <w:szCs w:val="22"/>
          <w:lang w:val="uk-UA"/>
        </w:rPr>
        <w:t xml:space="preserve"> з урахуванням ролі, характеру та обсягу перевірок аудитор</w:t>
      </w:r>
      <w:r>
        <w:rPr>
          <w:sz w:val="22"/>
          <w:szCs w:val="22"/>
          <w:lang w:val="uk-UA"/>
        </w:rPr>
        <w:t>ом</w:t>
      </w:r>
      <w:r w:rsidRPr="006B59B0">
        <w:rPr>
          <w:sz w:val="22"/>
          <w:szCs w:val="22"/>
          <w:lang w:val="uk-UA"/>
        </w:rPr>
        <w:t xml:space="preserve">, </w:t>
      </w:r>
      <w:r w:rsidR="00717FC4">
        <w:rPr>
          <w:sz w:val="22"/>
          <w:szCs w:val="22"/>
          <w:lang w:val="uk-UA"/>
        </w:rPr>
        <w:t xml:space="preserve">визначених </w:t>
      </w:r>
      <w:r w:rsidRPr="006B59B0">
        <w:rPr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Посібнику</w:t>
      </w:r>
      <w:r w:rsidRPr="006B59B0">
        <w:rPr>
          <w:sz w:val="22"/>
          <w:szCs w:val="22"/>
          <w:lang w:val="uk-UA"/>
        </w:rPr>
        <w:t xml:space="preserve"> з перевірки витрат.</w:t>
      </w:r>
    </w:p>
    <w:p w:rsidR="00E21BD9" w:rsidRPr="006B59B0" w:rsidRDefault="00E21BD9" w:rsidP="00E21BD9">
      <w:pPr>
        <w:pStyle w:val="Akapitzlist"/>
        <w:spacing w:after="120"/>
        <w:ind w:left="567"/>
        <w:jc w:val="both"/>
        <w:rPr>
          <w:sz w:val="22"/>
          <w:szCs w:val="22"/>
          <w:lang w:val="uk-UA"/>
        </w:rPr>
      </w:pPr>
    </w:p>
    <w:p w:rsidR="00964C0E" w:rsidRPr="007C5FA9" w:rsidRDefault="006B59B0" w:rsidP="00E21BD9">
      <w:pPr>
        <w:pStyle w:val="Akapitzlist"/>
        <w:spacing w:after="120"/>
        <w:ind w:left="567"/>
        <w:contextualSpacing w:val="0"/>
        <w:jc w:val="both"/>
        <w:rPr>
          <w:sz w:val="22"/>
          <w:szCs w:val="22"/>
          <w:lang w:val="uk-UA"/>
        </w:rPr>
      </w:pPr>
      <w:r w:rsidRPr="006B59B0">
        <w:rPr>
          <w:sz w:val="22"/>
          <w:szCs w:val="22"/>
          <w:lang w:val="uk-UA"/>
        </w:rPr>
        <w:t xml:space="preserve">Посібник з перевірки витрат є невід'ємною частиною Договору і повністю застосовується до перевірки витрат </w:t>
      </w:r>
      <w:r w:rsidR="00717FC4">
        <w:rPr>
          <w:sz w:val="22"/>
          <w:szCs w:val="22"/>
          <w:lang w:val="uk-UA"/>
        </w:rPr>
        <w:t>Грантового д</w:t>
      </w:r>
      <w:r w:rsidRPr="006B59B0">
        <w:rPr>
          <w:sz w:val="22"/>
          <w:szCs w:val="22"/>
          <w:lang w:val="uk-UA"/>
        </w:rPr>
        <w:t>оговору [</w:t>
      </w:r>
      <w:r w:rsidRPr="00E21BD9">
        <w:rPr>
          <w:sz w:val="22"/>
          <w:szCs w:val="22"/>
          <w:highlight w:val="lightGray"/>
          <w:lang w:val="uk-UA"/>
        </w:rPr>
        <w:t>Назва та номер Грантового договору</w:t>
      </w:r>
      <w:r w:rsidRPr="006B59B0">
        <w:rPr>
          <w:sz w:val="22"/>
          <w:szCs w:val="22"/>
          <w:lang w:val="uk-UA"/>
        </w:rPr>
        <w:t>].</w:t>
      </w:r>
    </w:p>
    <w:p w:rsidR="00C1387D" w:rsidRPr="007C5FA9" w:rsidRDefault="00110D42" w:rsidP="00F126BB">
      <w:pPr>
        <w:pStyle w:val="Akapitzlist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Для </w:t>
      </w:r>
      <w:r w:rsidR="00D56519" w:rsidRPr="00D56519">
        <w:rPr>
          <w:sz w:val="22"/>
          <w:szCs w:val="22"/>
          <w:lang w:val="uk-UA"/>
        </w:rPr>
        <w:t xml:space="preserve">розуміння умов Грантового </w:t>
      </w:r>
      <w:r w:rsidR="00F126BB">
        <w:rPr>
          <w:sz w:val="22"/>
          <w:szCs w:val="22"/>
          <w:lang w:val="uk-UA"/>
        </w:rPr>
        <w:t>договор</w:t>
      </w:r>
      <w:r w:rsidR="00D56519" w:rsidRPr="00D56519">
        <w:rPr>
          <w:sz w:val="22"/>
          <w:szCs w:val="22"/>
          <w:lang w:val="uk-UA"/>
        </w:rPr>
        <w:t xml:space="preserve">у </w:t>
      </w:r>
      <w:r w:rsidRPr="00D56519">
        <w:rPr>
          <w:sz w:val="22"/>
          <w:szCs w:val="22"/>
          <w:lang w:val="uk-UA"/>
        </w:rPr>
        <w:t xml:space="preserve">Аудитор </w:t>
      </w:r>
      <w:r>
        <w:rPr>
          <w:sz w:val="22"/>
          <w:szCs w:val="22"/>
          <w:lang w:val="uk-UA"/>
        </w:rPr>
        <w:t>повинен переглянути Грантовий договір та його додатки</w:t>
      </w:r>
      <w:r w:rsidR="00D56519" w:rsidRPr="00D56519">
        <w:rPr>
          <w:sz w:val="22"/>
          <w:szCs w:val="22"/>
          <w:lang w:val="uk-UA"/>
        </w:rPr>
        <w:t xml:space="preserve">, а також </w:t>
      </w:r>
      <w:r>
        <w:rPr>
          <w:sz w:val="22"/>
          <w:szCs w:val="22"/>
          <w:lang w:val="uk-UA"/>
        </w:rPr>
        <w:t>Програмний Посібник</w:t>
      </w:r>
      <w:r w:rsidR="00F126BB">
        <w:rPr>
          <w:sz w:val="22"/>
          <w:szCs w:val="22"/>
          <w:lang w:val="uk-UA"/>
        </w:rPr>
        <w:t xml:space="preserve"> </w:t>
      </w:r>
      <w:r w:rsidR="00D56519" w:rsidRPr="00D56519">
        <w:rPr>
          <w:sz w:val="22"/>
          <w:szCs w:val="22"/>
          <w:lang w:val="uk-UA"/>
        </w:rPr>
        <w:t xml:space="preserve">та </w:t>
      </w:r>
      <w:r w:rsidR="00F126BB">
        <w:rPr>
          <w:sz w:val="22"/>
          <w:szCs w:val="22"/>
          <w:lang w:val="uk-UA"/>
        </w:rPr>
        <w:t>Посібник</w:t>
      </w:r>
      <w:r w:rsidR="00D56519" w:rsidRPr="00D56519">
        <w:rPr>
          <w:sz w:val="22"/>
          <w:szCs w:val="22"/>
          <w:lang w:val="uk-UA"/>
        </w:rPr>
        <w:t xml:space="preserve"> </w:t>
      </w:r>
      <w:r w:rsidR="00F126BB">
        <w:rPr>
          <w:sz w:val="22"/>
          <w:szCs w:val="22"/>
          <w:lang w:val="uk-UA"/>
        </w:rPr>
        <w:t xml:space="preserve">з </w:t>
      </w:r>
      <w:r>
        <w:rPr>
          <w:sz w:val="22"/>
          <w:szCs w:val="22"/>
          <w:lang w:val="uk-UA"/>
        </w:rPr>
        <w:t>перевірки витрат та іншу відповідну інформацію отриману на запит</w:t>
      </w:r>
      <w:r w:rsidR="00D56519" w:rsidRPr="00D5651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до</w:t>
      </w:r>
      <w:r w:rsidR="00F126BB">
        <w:rPr>
          <w:sz w:val="22"/>
          <w:szCs w:val="22"/>
          <w:lang w:val="uk-UA"/>
        </w:rPr>
        <w:t xml:space="preserve"> </w:t>
      </w:r>
      <w:r w:rsidR="00D56519" w:rsidRPr="00D56519">
        <w:rPr>
          <w:sz w:val="22"/>
          <w:szCs w:val="22"/>
          <w:lang w:val="uk-UA"/>
        </w:rPr>
        <w:t xml:space="preserve">Бенефіціара або </w:t>
      </w:r>
      <w:r>
        <w:rPr>
          <w:sz w:val="22"/>
          <w:szCs w:val="22"/>
          <w:lang w:val="uk-UA"/>
        </w:rPr>
        <w:t xml:space="preserve">до </w:t>
      </w:r>
      <w:r w:rsidR="00D56519" w:rsidRPr="00D56519">
        <w:rPr>
          <w:sz w:val="22"/>
          <w:szCs w:val="22"/>
          <w:lang w:val="uk-UA"/>
        </w:rPr>
        <w:t>Контрольно</w:t>
      </w:r>
      <w:r w:rsidR="00F126BB">
        <w:rPr>
          <w:sz w:val="22"/>
          <w:szCs w:val="22"/>
          <w:lang w:val="uk-UA"/>
        </w:rPr>
        <w:t xml:space="preserve">-контактного </w:t>
      </w:r>
      <w:r w:rsidR="00D56519" w:rsidRPr="00D56519">
        <w:rPr>
          <w:sz w:val="22"/>
          <w:szCs w:val="22"/>
          <w:lang w:val="uk-UA"/>
        </w:rPr>
        <w:t>пункту</w:t>
      </w:r>
      <w:r w:rsidR="00F126BB">
        <w:rPr>
          <w:sz w:val="22"/>
          <w:szCs w:val="22"/>
          <w:lang w:val="uk-UA"/>
        </w:rPr>
        <w:t>.</w:t>
      </w:r>
    </w:p>
    <w:p w:rsidR="00BA4E5D" w:rsidRPr="007C5FA9" w:rsidRDefault="00F126BB" w:rsidP="00F126BB">
      <w:pPr>
        <w:pStyle w:val="Akapitzlist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sz w:val="22"/>
          <w:szCs w:val="22"/>
          <w:lang w:val="uk-UA"/>
        </w:rPr>
      </w:pPr>
      <w:r w:rsidRPr="00F126BB">
        <w:rPr>
          <w:sz w:val="22"/>
          <w:szCs w:val="22"/>
          <w:lang w:val="uk-UA"/>
        </w:rPr>
        <w:t xml:space="preserve">Аудитор документує </w:t>
      </w:r>
      <w:r>
        <w:rPr>
          <w:sz w:val="22"/>
          <w:szCs w:val="22"/>
          <w:lang w:val="uk-UA"/>
        </w:rPr>
        <w:t>матеріал</w:t>
      </w:r>
      <w:r w:rsidRPr="00F126BB">
        <w:rPr>
          <w:sz w:val="22"/>
          <w:szCs w:val="22"/>
          <w:lang w:val="uk-UA"/>
        </w:rPr>
        <w:t xml:space="preserve"> таким чином, щоб надати докази фа</w:t>
      </w:r>
      <w:r w:rsidR="00102179">
        <w:rPr>
          <w:sz w:val="22"/>
          <w:szCs w:val="22"/>
          <w:lang w:val="uk-UA"/>
        </w:rPr>
        <w:t>ктичних висновків, підтвердити прийнятність</w:t>
      </w:r>
      <w:r w:rsidRPr="00F126BB">
        <w:rPr>
          <w:sz w:val="22"/>
          <w:szCs w:val="22"/>
          <w:lang w:val="uk-UA"/>
        </w:rPr>
        <w:t xml:space="preserve"> витрат (шляхом збору відповідних підтверджуючих документів), а також </w:t>
      </w:r>
      <w:r w:rsidR="00102179">
        <w:rPr>
          <w:sz w:val="22"/>
          <w:szCs w:val="22"/>
          <w:lang w:val="uk-UA"/>
        </w:rPr>
        <w:t>підтвердити</w:t>
      </w:r>
      <w:r w:rsidRPr="00F126BB">
        <w:rPr>
          <w:sz w:val="22"/>
          <w:szCs w:val="22"/>
          <w:lang w:val="uk-UA"/>
        </w:rPr>
        <w:t>, що робота виконана ві</w:t>
      </w:r>
      <w:r w:rsidR="00102179">
        <w:rPr>
          <w:sz w:val="22"/>
          <w:szCs w:val="22"/>
          <w:lang w:val="uk-UA"/>
        </w:rPr>
        <w:t xml:space="preserve">дповідно до </w:t>
      </w:r>
      <w:r w:rsidRPr="00F126BB">
        <w:rPr>
          <w:sz w:val="22"/>
          <w:szCs w:val="22"/>
          <w:lang w:val="uk-UA"/>
        </w:rPr>
        <w:t xml:space="preserve">процедур, встановлених </w:t>
      </w:r>
      <w:r>
        <w:rPr>
          <w:sz w:val="22"/>
          <w:szCs w:val="22"/>
          <w:lang w:val="uk-UA"/>
        </w:rPr>
        <w:t>у Посібнику з перевірки</w:t>
      </w:r>
      <w:r w:rsidRPr="00F126BB">
        <w:rPr>
          <w:sz w:val="22"/>
          <w:szCs w:val="22"/>
          <w:lang w:val="uk-UA"/>
        </w:rPr>
        <w:t xml:space="preserve"> витрат. Аудитор використовує </w:t>
      </w:r>
      <w:r w:rsidR="00D84E63">
        <w:rPr>
          <w:sz w:val="22"/>
          <w:szCs w:val="22"/>
          <w:lang w:val="uk-UA"/>
        </w:rPr>
        <w:t>підтвердження,</w:t>
      </w:r>
      <w:r w:rsidR="00102179">
        <w:rPr>
          <w:sz w:val="22"/>
          <w:szCs w:val="22"/>
          <w:lang w:val="uk-UA"/>
        </w:rPr>
        <w:t xml:space="preserve"> отримані в</w:t>
      </w:r>
      <w:r w:rsidRPr="00F126BB">
        <w:rPr>
          <w:sz w:val="22"/>
          <w:szCs w:val="22"/>
          <w:lang w:val="uk-UA"/>
        </w:rPr>
        <w:t xml:space="preserve"> </w:t>
      </w:r>
      <w:r w:rsidR="00D84E63">
        <w:rPr>
          <w:sz w:val="22"/>
          <w:szCs w:val="22"/>
          <w:lang w:val="uk-UA"/>
        </w:rPr>
        <w:t xml:space="preserve">результаті </w:t>
      </w:r>
      <w:r w:rsidRPr="00F126BB">
        <w:rPr>
          <w:sz w:val="22"/>
          <w:szCs w:val="22"/>
          <w:lang w:val="uk-UA"/>
        </w:rPr>
        <w:t xml:space="preserve">цих процедур, як основу для звіту про </w:t>
      </w:r>
      <w:r w:rsidR="00D84E63">
        <w:rPr>
          <w:sz w:val="22"/>
          <w:szCs w:val="22"/>
          <w:lang w:val="uk-UA"/>
        </w:rPr>
        <w:t>отримані результати</w:t>
      </w:r>
      <w:r w:rsidRPr="00F126BB">
        <w:rPr>
          <w:sz w:val="22"/>
          <w:szCs w:val="22"/>
          <w:lang w:val="uk-UA"/>
        </w:rPr>
        <w:t>. Недотримання цих правил робить вит</w:t>
      </w:r>
      <w:r w:rsidR="00D84E63">
        <w:rPr>
          <w:sz w:val="22"/>
          <w:szCs w:val="22"/>
          <w:lang w:val="uk-UA"/>
        </w:rPr>
        <w:t>рат</w:t>
      </w:r>
      <w:r w:rsidRPr="00F126BB">
        <w:rPr>
          <w:sz w:val="22"/>
          <w:szCs w:val="22"/>
          <w:lang w:val="uk-UA"/>
        </w:rPr>
        <w:t>и неприйнятними для фінансування ЄС.</w:t>
      </w:r>
      <w:r>
        <w:rPr>
          <w:sz w:val="22"/>
          <w:szCs w:val="22"/>
          <w:lang w:val="uk-UA"/>
        </w:rPr>
        <w:t xml:space="preserve"> </w:t>
      </w:r>
    </w:p>
    <w:p w:rsidR="00E12D28" w:rsidRPr="007C5FA9" w:rsidRDefault="00D84E63" w:rsidP="00D84E63">
      <w:pPr>
        <w:pStyle w:val="Akapitzlist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sz w:val="22"/>
          <w:szCs w:val="22"/>
          <w:lang w:val="uk-UA"/>
        </w:rPr>
      </w:pPr>
      <w:r w:rsidRPr="00D84E63">
        <w:rPr>
          <w:rFonts w:cs="Arial"/>
          <w:sz w:val="22"/>
          <w:szCs w:val="22"/>
          <w:lang w:val="uk-UA"/>
        </w:rPr>
        <w:t xml:space="preserve">Аудитор гарантує, що процес та результат </w:t>
      </w:r>
      <w:r>
        <w:rPr>
          <w:rFonts w:cs="Arial"/>
          <w:sz w:val="22"/>
          <w:szCs w:val="22"/>
          <w:lang w:val="uk-UA"/>
        </w:rPr>
        <w:t xml:space="preserve">проведеного </w:t>
      </w:r>
      <w:r w:rsidR="002F493A">
        <w:rPr>
          <w:rFonts w:cs="Arial"/>
          <w:sz w:val="22"/>
          <w:szCs w:val="22"/>
          <w:lang w:val="uk-UA"/>
        </w:rPr>
        <w:t>аудиту будуть здійснені</w:t>
      </w:r>
      <w:r w:rsidRPr="00D84E63">
        <w:rPr>
          <w:rFonts w:cs="Arial"/>
          <w:sz w:val="22"/>
          <w:szCs w:val="22"/>
          <w:lang w:val="uk-UA"/>
        </w:rPr>
        <w:t xml:space="preserve"> таким чином, щоб будь-який інший аудитор міг </w:t>
      </w:r>
      <w:r w:rsidR="002F493A">
        <w:rPr>
          <w:rFonts w:cs="Arial"/>
          <w:sz w:val="22"/>
          <w:szCs w:val="22"/>
          <w:lang w:val="uk-UA"/>
        </w:rPr>
        <w:t>провести повторний контроль</w:t>
      </w:r>
      <w:r w:rsidRPr="00D84E63">
        <w:rPr>
          <w:rFonts w:cs="Arial"/>
          <w:sz w:val="22"/>
          <w:szCs w:val="22"/>
          <w:lang w:val="uk-UA"/>
        </w:rPr>
        <w:t xml:space="preserve"> на основі документів, зібраних та підготовлених </w:t>
      </w:r>
      <w:r w:rsidR="002F493A">
        <w:rPr>
          <w:rFonts w:cs="Arial"/>
          <w:sz w:val="22"/>
          <w:szCs w:val="22"/>
          <w:lang w:val="uk-UA"/>
        </w:rPr>
        <w:t xml:space="preserve">попереднім </w:t>
      </w:r>
      <w:r w:rsidRPr="00D84E63">
        <w:rPr>
          <w:rFonts w:cs="Arial"/>
          <w:sz w:val="22"/>
          <w:szCs w:val="22"/>
          <w:lang w:val="uk-UA"/>
        </w:rPr>
        <w:t>аудитором.</w:t>
      </w:r>
      <w:r>
        <w:rPr>
          <w:rFonts w:cs="Arial"/>
          <w:sz w:val="22"/>
          <w:szCs w:val="22"/>
          <w:lang w:val="uk-UA"/>
        </w:rPr>
        <w:t xml:space="preserve"> </w:t>
      </w:r>
    </w:p>
    <w:p w:rsidR="00AD66F2" w:rsidRPr="007C5FA9" w:rsidRDefault="00D84E63" w:rsidP="00D84E63">
      <w:pPr>
        <w:pStyle w:val="Akapitzlist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sz w:val="22"/>
          <w:szCs w:val="22"/>
          <w:lang w:val="uk-UA"/>
        </w:rPr>
      </w:pPr>
      <w:r w:rsidRPr="00D84E63">
        <w:rPr>
          <w:sz w:val="22"/>
          <w:szCs w:val="22"/>
          <w:lang w:val="uk-UA"/>
        </w:rPr>
        <w:lastRenderedPageBreak/>
        <w:t>Аудитор буде відвідувати спеціальні тренінги та зустрічі для аудиторів, організовані компетентними органами Програми</w:t>
      </w:r>
      <w:r>
        <w:rPr>
          <w:sz w:val="22"/>
          <w:szCs w:val="22"/>
          <w:lang w:val="uk-UA"/>
        </w:rPr>
        <w:t>.</w:t>
      </w:r>
      <w:r w:rsidR="00AD66F2" w:rsidRPr="00D84E63">
        <w:rPr>
          <w:sz w:val="22"/>
          <w:szCs w:val="22"/>
          <w:lang w:val="uk-UA"/>
        </w:rPr>
        <w:t xml:space="preserve"> </w:t>
      </w:r>
    </w:p>
    <w:p w:rsidR="00C1387D" w:rsidRPr="0037157D" w:rsidRDefault="00D84E63" w:rsidP="00D84E63">
      <w:pPr>
        <w:pStyle w:val="Akapitzlist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sz w:val="22"/>
          <w:szCs w:val="22"/>
          <w:lang w:val="uk-UA"/>
        </w:rPr>
      </w:pPr>
      <w:r w:rsidRPr="00D84E63">
        <w:rPr>
          <w:rFonts w:cs="Arial"/>
          <w:sz w:val="22"/>
          <w:szCs w:val="22"/>
          <w:lang w:val="uk-UA"/>
        </w:rPr>
        <w:t xml:space="preserve">Аудитор зобов'язаний співпрацювати </w:t>
      </w:r>
      <w:r w:rsidR="002F493A">
        <w:rPr>
          <w:rFonts w:cs="Arial"/>
          <w:sz w:val="22"/>
          <w:szCs w:val="22"/>
          <w:lang w:val="uk-UA"/>
        </w:rPr>
        <w:t>і</w:t>
      </w:r>
      <w:r w:rsidRPr="00D84E63">
        <w:rPr>
          <w:rFonts w:cs="Arial"/>
          <w:sz w:val="22"/>
          <w:szCs w:val="22"/>
          <w:lang w:val="uk-UA"/>
        </w:rPr>
        <w:t xml:space="preserve">з Спільним технічним секретаріатом, Контрольно-контактним пунктом та іншими установами, уповноваженими контролювати </w:t>
      </w:r>
      <w:r w:rsidRPr="0037157D">
        <w:rPr>
          <w:rFonts w:cs="Arial"/>
          <w:sz w:val="22"/>
          <w:szCs w:val="22"/>
          <w:lang w:val="uk-UA"/>
        </w:rPr>
        <w:t xml:space="preserve">проект, включаючи надання роз'яснень, доступ до документів, зібраних під час проведення перевірки. </w:t>
      </w:r>
    </w:p>
    <w:p w:rsidR="00BE05DC" w:rsidRPr="0037157D" w:rsidRDefault="00D84E63" w:rsidP="00BE05DC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  <w:lang w:val="uk-UA"/>
        </w:rPr>
      </w:pPr>
      <w:r w:rsidRPr="0037157D">
        <w:rPr>
          <w:b/>
          <w:lang w:val="uk-UA"/>
        </w:rPr>
        <w:t>Стаття</w:t>
      </w:r>
      <w:r w:rsidR="00BE05DC" w:rsidRPr="0037157D">
        <w:rPr>
          <w:b/>
          <w:lang w:val="uk-UA"/>
        </w:rPr>
        <w:t xml:space="preserve"> 8.</w:t>
      </w:r>
      <w:r w:rsidR="00BE05DC" w:rsidRPr="0037157D">
        <w:rPr>
          <w:b/>
          <w:lang w:val="uk-UA"/>
        </w:rPr>
        <w:tab/>
      </w:r>
      <w:bookmarkEnd w:id="3"/>
      <w:r w:rsidRPr="0037157D">
        <w:rPr>
          <w:b/>
          <w:lang w:val="uk-UA"/>
        </w:rPr>
        <w:t xml:space="preserve">Документи </w:t>
      </w:r>
      <w:r w:rsidR="002F493A" w:rsidRPr="0037157D">
        <w:rPr>
          <w:b/>
          <w:lang w:val="uk-UA"/>
        </w:rPr>
        <w:t>за результатами</w:t>
      </w:r>
      <w:r w:rsidRPr="0037157D">
        <w:rPr>
          <w:b/>
          <w:lang w:val="uk-UA"/>
        </w:rPr>
        <w:t xml:space="preserve"> </w:t>
      </w:r>
      <w:r w:rsidR="002F493A" w:rsidRPr="0037157D">
        <w:rPr>
          <w:b/>
          <w:lang w:val="uk-UA"/>
        </w:rPr>
        <w:t>перевірки</w:t>
      </w:r>
    </w:p>
    <w:p w:rsidR="00311ADC" w:rsidRPr="0037157D" w:rsidRDefault="00BE05DC" w:rsidP="00BE05DC">
      <w:p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37157D">
        <w:rPr>
          <w:sz w:val="22"/>
          <w:szCs w:val="22"/>
          <w:lang w:val="uk-UA"/>
        </w:rPr>
        <w:t xml:space="preserve">8.1 </w:t>
      </w:r>
      <w:r w:rsidRPr="0037157D">
        <w:rPr>
          <w:sz w:val="22"/>
          <w:szCs w:val="22"/>
          <w:lang w:val="uk-UA"/>
        </w:rPr>
        <w:tab/>
      </w:r>
      <w:r w:rsidR="00D84E63" w:rsidRPr="0037157D">
        <w:rPr>
          <w:sz w:val="22"/>
          <w:szCs w:val="22"/>
          <w:lang w:val="uk-UA"/>
        </w:rPr>
        <w:t>Аудитор повинен</w:t>
      </w:r>
      <w:r w:rsidR="00AF3A60" w:rsidRPr="0037157D">
        <w:rPr>
          <w:sz w:val="22"/>
          <w:szCs w:val="22"/>
          <w:lang w:val="uk-UA"/>
        </w:rPr>
        <w:t xml:space="preserve"> на</w:t>
      </w:r>
      <w:r w:rsidR="00D84E63" w:rsidRPr="0037157D">
        <w:rPr>
          <w:sz w:val="22"/>
          <w:szCs w:val="22"/>
          <w:lang w:val="uk-UA"/>
        </w:rPr>
        <w:t>да</w:t>
      </w:r>
      <w:r w:rsidR="00AF3A60" w:rsidRPr="0037157D">
        <w:rPr>
          <w:sz w:val="22"/>
          <w:szCs w:val="22"/>
          <w:lang w:val="uk-UA"/>
        </w:rPr>
        <w:t xml:space="preserve">ти </w:t>
      </w:r>
      <w:r w:rsidR="00D84E63" w:rsidRPr="0037157D">
        <w:rPr>
          <w:sz w:val="22"/>
          <w:szCs w:val="22"/>
          <w:lang w:val="uk-UA"/>
        </w:rPr>
        <w:t xml:space="preserve">документи </w:t>
      </w:r>
      <w:r w:rsidR="00AF3A60" w:rsidRPr="0037157D">
        <w:rPr>
          <w:sz w:val="22"/>
          <w:szCs w:val="22"/>
          <w:lang w:val="uk-UA"/>
        </w:rPr>
        <w:t xml:space="preserve">після проведення </w:t>
      </w:r>
      <w:r w:rsidR="004F19FC" w:rsidRPr="0037157D">
        <w:rPr>
          <w:sz w:val="22"/>
          <w:szCs w:val="22"/>
          <w:lang w:val="uk-UA"/>
        </w:rPr>
        <w:t>перевірки</w:t>
      </w:r>
      <w:r w:rsidR="00AF3A60" w:rsidRPr="0037157D">
        <w:rPr>
          <w:sz w:val="22"/>
          <w:szCs w:val="22"/>
          <w:lang w:val="uk-UA"/>
        </w:rPr>
        <w:t xml:space="preserve"> </w:t>
      </w:r>
      <w:proofErr w:type="spellStart"/>
      <w:r w:rsidR="00D84E63" w:rsidRPr="0037157D">
        <w:rPr>
          <w:sz w:val="22"/>
          <w:szCs w:val="22"/>
          <w:lang w:val="uk-UA"/>
        </w:rPr>
        <w:t>Бенефіціару</w:t>
      </w:r>
      <w:proofErr w:type="spellEnd"/>
      <w:r w:rsidR="004F19FC" w:rsidRPr="0037157D">
        <w:rPr>
          <w:sz w:val="22"/>
          <w:szCs w:val="22"/>
          <w:lang w:val="uk-UA"/>
        </w:rPr>
        <w:t xml:space="preserve"> (сертифікат з </w:t>
      </w:r>
      <w:r w:rsidR="00D84E63" w:rsidRPr="0037157D">
        <w:rPr>
          <w:sz w:val="22"/>
          <w:szCs w:val="22"/>
          <w:lang w:val="uk-UA"/>
        </w:rPr>
        <w:t>контрольним п</w:t>
      </w:r>
      <w:r w:rsidR="004F19FC" w:rsidRPr="0037157D">
        <w:rPr>
          <w:sz w:val="22"/>
          <w:szCs w:val="22"/>
          <w:lang w:val="uk-UA"/>
        </w:rPr>
        <w:t>ереліком) відповідно до зразків</w:t>
      </w:r>
      <w:r w:rsidR="00D84E63" w:rsidRPr="0037157D">
        <w:rPr>
          <w:sz w:val="22"/>
          <w:szCs w:val="22"/>
          <w:lang w:val="uk-UA"/>
        </w:rPr>
        <w:t xml:space="preserve"> і процедур, встановлених у </w:t>
      </w:r>
      <w:r w:rsidR="00AF3A60" w:rsidRPr="0037157D">
        <w:rPr>
          <w:sz w:val="22"/>
          <w:szCs w:val="22"/>
          <w:lang w:val="uk-UA"/>
        </w:rPr>
        <w:t>Посібнику</w:t>
      </w:r>
      <w:r w:rsidR="00D84E63" w:rsidRPr="0037157D">
        <w:rPr>
          <w:sz w:val="22"/>
          <w:szCs w:val="22"/>
          <w:lang w:val="uk-UA"/>
        </w:rPr>
        <w:t xml:space="preserve"> з витрат</w:t>
      </w:r>
      <w:r w:rsidR="00F56CB3" w:rsidRPr="0037157D">
        <w:rPr>
          <w:sz w:val="22"/>
          <w:szCs w:val="22"/>
          <w:lang w:val="uk-UA"/>
        </w:rPr>
        <w:t>.</w:t>
      </w:r>
    </w:p>
    <w:p w:rsidR="00BE05DC" w:rsidRPr="0037157D" w:rsidRDefault="00BE05DC" w:rsidP="00BE05DC">
      <w:p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37157D">
        <w:rPr>
          <w:sz w:val="22"/>
          <w:szCs w:val="22"/>
          <w:lang w:val="uk-UA"/>
        </w:rPr>
        <w:t>8.2</w:t>
      </w:r>
      <w:r w:rsidRPr="0037157D">
        <w:rPr>
          <w:sz w:val="22"/>
          <w:szCs w:val="22"/>
          <w:lang w:val="uk-UA"/>
        </w:rPr>
        <w:tab/>
      </w:r>
      <w:r w:rsidR="00AF3A60" w:rsidRPr="0037157D">
        <w:rPr>
          <w:sz w:val="22"/>
          <w:szCs w:val="22"/>
          <w:lang w:val="uk-UA"/>
        </w:rPr>
        <w:t>У разі виявлення підозри</w:t>
      </w:r>
      <w:r w:rsidR="004F19FC" w:rsidRPr="0037157D">
        <w:rPr>
          <w:sz w:val="22"/>
          <w:szCs w:val="22"/>
          <w:lang w:val="uk-UA"/>
        </w:rPr>
        <w:t xml:space="preserve"> та / або встановлення</w:t>
      </w:r>
      <w:r w:rsidR="00AF3A60" w:rsidRPr="0037157D">
        <w:rPr>
          <w:sz w:val="22"/>
          <w:szCs w:val="22"/>
          <w:lang w:val="uk-UA"/>
        </w:rPr>
        <w:t xml:space="preserve"> шахрайства Аудитор без зволікань </w:t>
      </w:r>
      <w:r w:rsidR="004F19FC" w:rsidRPr="0037157D">
        <w:rPr>
          <w:sz w:val="22"/>
          <w:szCs w:val="22"/>
          <w:lang w:val="uk-UA"/>
        </w:rPr>
        <w:t>подає</w:t>
      </w:r>
      <w:r w:rsidR="00AF3A60" w:rsidRPr="0037157D">
        <w:rPr>
          <w:sz w:val="22"/>
          <w:szCs w:val="22"/>
          <w:lang w:val="uk-UA"/>
        </w:rPr>
        <w:t xml:space="preserve"> Ноту про порушення безпосередньо до </w:t>
      </w:r>
      <w:r w:rsidR="00335FBA" w:rsidRPr="0037157D">
        <w:rPr>
          <w:sz w:val="22"/>
          <w:szCs w:val="22"/>
          <w:lang w:val="uk-UA"/>
        </w:rPr>
        <w:t>Спільного Технічного С</w:t>
      </w:r>
      <w:r w:rsidR="00AF3A60" w:rsidRPr="0037157D">
        <w:rPr>
          <w:sz w:val="22"/>
          <w:szCs w:val="22"/>
          <w:lang w:val="uk-UA"/>
        </w:rPr>
        <w:t>екретаріату, зазначеного в Грантовому договорі</w:t>
      </w:r>
      <w:r w:rsidR="00ED359B" w:rsidRPr="0037157D">
        <w:rPr>
          <w:sz w:val="22"/>
          <w:szCs w:val="22"/>
          <w:lang w:val="uk-UA"/>
        </w:rPr>
        <w:t xml:space="preserve">. </w:t>
      </w:r>
    </w:p>
    <w:p w:rsidR="00BE05DC" w:rsidRPr="0037157D" w:rsidRDefault="00AF3A60" w:rsidP="00BE05DC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  <w:lang w:val="uk-UA"/>
        </w:rPr>
      </w:pPr>
      <w:r w:rsidRPr="0037157D">
        <w:rPr>
          <w:b/>
          <w:lang w:val="uk-UA"/>
        </w:rPr>
        <w:t>Стаття</w:t>
      </w:r>
      <w:r w:rsidR="00BE05DC" w:rsidRPr="0037157D">
        <w:rPr>
          <w:b/>
          <w:lang w:val="uk-UA"/>
        </w:rPr>
        <w:t xml:space="preserve"> 9.</w:t>
      </w:r>
      <w:r w:rsidR="00BE05DC" w:rsidRPr="0037157D">
        <w:rPr>
          <w:b/>
          <w:lang w:val="uk-UA"/>
        </w:rPr>
        <w:tab/>
      </w:r>
      <w:r w:rsidRPr="0037157D">
        <w:rPr>
          <w:b/>
          <w:lang w:val="uk-UA"/>
        </w:rPr>
        <w:t xml:space="preserve">Затвердження документів </w:t>
      </w:r>
      <w:r w:rsidR="004F19FC" w:rsidRPr="0037157D">
        <w:rPr>
          <w:b/>
          <w:lang w:val="uk-UA"/>
        </w:rPr>
        <w:t>за результатами перевірки</w:t>
      </w:r>
      <w:r w:rsidR="00BE05DC" w:rsidRPr="0037157D">
        <w:rPr>
          <w:b/>
          <w:lang w:val="uk-UA"/>
        </w:rPr>
        <w:t xml:space="preserve"> </w:t>
      </w:r>
    </w:p>
    <w:p w:rsidR="00BE05DC" w:rsidRPr="0037157D" w:rsidRDefault="00BE05D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uk-UA"/>
        </w:rPr>
      </w:pPr>
      <w:r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9.1</w:t>
      </w:r>
      <w:r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ab/>
      </w:r>
      <w:r w:rsidR="00AF3A60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Сертифікат аудитора з відповідним контрольним переліком повинен бути затверджений Органом Управління та Спільним Технічним Секретаріатом, зазначеними у Грантовому договорі, після подання Головним Бенефіціаром. </w:t>
      </w:r>
      <w:r w:rsidR="00335FBA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У деяких</w:t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випадках </w:t>
      </w:r>
      <w:r w:rsidR="00AF3A60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Аудитор</w:t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а </w:t>
      </w:r>
      <w:r w:rsidR="00AF3A60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мож</w:t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уть просити </w:t>
      </w:r>
      <w:r w:rsidR="00AF3A60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надати роз'яснення або додаткову інформацію щодо документів </w:t>
      </w:r>
      <w:r w:rsidR="00335FBA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за результатами перевірки</w:t>
      </w:r>
      <w:r w:rsidR="00AF3A60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та звіту про хід </w:t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реалізації проекту</w:t>
      </w:r>
      <w:r w:rsidR="00316DFE" w:rsidRPr="0037157D">
        <w:rPr>
          <w:rFonts w:ascii="Century Gothic" w:hAnsi="Century Gothic"/>
          <w:sz w:val="22"/>
          <w:szCs w:val="22"/>
          <w:lang w:val="uk-UA"/>
        </w:rPr>
        <w:t xml:space="preserve">. </w:t>
      </w:r>
    </w:p>
    <w:p w:rsidR="00BE05DC" w:rsidRPr="0037157D" w:rsidRDefault="00BE05D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sz w:val="22"/>
          <w:szCs w:val="22"/>
          <w:lang w:val="uk-UA"/>
        </w:rPr>
      </w:pPr>
      <w:r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9.2</w:t>
      </w:r>
      <w:r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ab/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Якщо Орган Управління, Спільний Технічний Секретаріат, Контрольно-контактні пункти або будь-які інші уповноважені контролюючі установи мають будь-які сумніви щодо затверджених витрат, включених до звіту про хід реалізації проекту та висновків, зазначених у сертифікаті аудитора, Аудитор отримує запит на роз'яснення відповідей, подання документів, які </w:t>
      </w:r>
      <w:r w:rsidR="00335FBA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потрібно</w:t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н</w:t>
      </w:r>
      <w:r w:rsidR="00335FBA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адати</w:t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</w:t>
      </w:r>
      <w:r w:rsidR="00335FBA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не пізніше ніж через</w:t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7 календарних днів </w:t>
      </w:r>
      <w:r w:rsidR="00335FBA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після запиту </w:t>
      </w:r>
      <w:r w:rsidR="0078076C" w:rsidRPr="0037157D">
        <w:rPr>
          <w:rFonts w:ascii="Century Gothic" w:eastAsiaTheme="minorHAnsi" w:hAnsi="Century Gothic" w:cstheme="minorBidi"/>
          <w:sz w:val="22"/>
          <w:szCs w:val="22"/>
          <w:lang w:val="uk-UA"/>
        </w:rPr>
        <w:t>або в терміни, визначені суб'єктами контролю</w:t>
      </w:r>
      <w:r w:rsidRPr="0037157D">
        <w:rPr>
          <w:rFonts w:ascii="Century Gothic" w:hAnsi="Century Gothic"/>
          <w:sz w:val="22"/>
          <w:szCs w:val="22"/>
          <w:lang w:val="uk-UA"/>
        </w:rPr>
        <w:t xml:space="preserve">. </w:t>
      </w:r>
    </w:p>
    <w:p w:rsidR="006677FD" w:rsidRPr="0037157D" w:rsidRDefault="00677146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uk-UA"/>
        </w:rPr>
      </w:pPr>
      <w:r w:rsidRPr="0037157D">
        <w:rPr>
          <w:rFonts w:ascii="Century Gothic" w:hAnsi="Century Gothic"/>
          <w:sz w:val="22"/>
          <w:szCs w:val="22"/>
          <w:lang w:val="uk-UA"/>
        </w:rPr>
        <w:t xml:space="preserve">9.3 </w:t>
      </w:r>
      <w:r w:rsidRPr="0037157D">
        <w:rPr>
          <w:rFonts w:ascii="Century Gothic" w:hAnsi="Century Gothic"/>
          <w:sz w:val="22"/>
          <w:szCs w:val="22"/>
          <w:lang w:val="uk-UA"/>
        </w:rPr>
        <w:tab/>
      </w:r>
      <w:r w:rsidR="00335FBA" w:rsidRPr="0037157D">
        <w:rPr>
          <w:rFonts w:ascii="Century Gothic" w:hAnsi="Century Gothic"/>
          <w:sz w:val="22"/>
          <w:szCs w:val="22"/>
          <w:lang w:val="uk-UA"/>
        </w:rPr>
        <w:t>Після того як</w:t>
      </w:r>
      <w:r w:rsidR="0078076C" w:rsidRPr="0037157D">
        <w:rPr>
          <w:rFonts w:ascii="Century Gothic" w:hAnsi="Century Gothic"/>
          <w:sz w:val="22"/>
          <w:szCs w:val="22"/>
          <w:lang w:val="uk-UA"/>
        </w:rPr>
        <w:t xml:space="preserve"> </w:t>
      </w:r>
      <w:r w:rsidR="00733572" w:rsidRPr="0037157D">
        <w:rPr>
          <w:rFonts w:ascii="Century Gothic" w:hAnsi="Century Gothic"/>
          <w:sz w:val="22"/>
          <w:szCs w:val="22"/>
          <w:lang w:val="uk-UA"/>
        </w:rPr>
        <w:t>подане</w:t>
      </w:r>
      <w:r w:rsidR="00335FBA" w:rsidRPr="0037157D">
        <w:rPr>
          <w:rFonts w:ascii="Century Gothic" w:hAnsi="Century Gothic"/>
          <w:sz w:val="22"/>
          <w:szCs w:val="22"/>
          <w:lang w:val="uk-UA"/>
        </w:rPr>
        <w:t xml:space="preserve"> до Спільного Технічного С</w:t>
      </w:r>
      <w:r w:rsidR="0078076C" w:rsidRPr="0037157D">
        <w:rPr>
          <w:rFonts w:ascii="Century Gothic" w:hAnsi="Century Gothic"/>
          <w:sz w:val="22"/>
          <w:szCs w:val="22"/>
          <w:lang w:val="uk-UA"/>
        </w:rPr>
        <w:t xml:space="preserve">екретаріату </w:t>
      </w:r>
      <w:r w:rsidR="00733572" w:rsidRPr="0037157D">
        <w:rPr>
          <w:rFonts w:ascii="Century Gothic" w:hAnsi="Century Gothic"/>
          <w:sz w:val="22"/>
          <w:szCs w:val="22"/>
          <w:lang w:val="uk-UA"/>
        </w:rPr>
        <w:t>роз</w:t>
      </w:r>
      <w:r w:rsidR="00733572" w:rsidRPr="0037157D">
        <w:rPr>
          <w:rFonts w:ascii="Century Gothic" w:hAnsi="Century Gothic"/>
          <w:sz w:val="22"/>
          <w:szCs w:val="22"/>
          <w:lang w:val="ru-RU"/>
        </w:rPr>
        <w:t>’</w:t>
      </w:r>
      <w:proofErr w:type="spellStart"/>
      <w:r w:rsidR="00733572" w:rsidRPr="0037157D">
        <w:rPr>
          <w:rFonts w:ascii="Century Gothic" w:hAnsi="Century Gothic"/>
          <w:sz w:val="22"/>
          <w:szCs w:val="22"/>
          <w:lang w:val="uk-UA"/>
        </w:rPr>
        <w:t>яснення</w:t>
      </w:r>
      <w:proofErr w:type="spellEnd"/>
      <w:r w:rsidR="00335FBA" w:rsidRPr="0037157D">
        <w:rPr>
          <w:rFonts w:ascii="Century Gothic" w:hAnsi="Century Gothic"/>
          <w:sz w:val="22"/>
          <w:szCs w:val="22"/>
          <w:lang w:val="uk-UA"/>
        </w:rPr>
        <w:t xml:space="preserve"> прийнято</w:t>
      </w:r>
      <w:r w:rsidR="0078076C" w:rsidRPr="0037157D">
        <w:rPr>
          <w:rFonts w:ascii="Century Gothic" w:hAnsi="Century Gothic"/>
          <w:sz w:val="22"/>
          <w:szCs w:val="22"/>
          <w:lang w:val="uk-UA"/>
        </w:rPr>
        <w:t xml:space="preserve">, </w:t>
      </w:r>
      <w:r w:rsidR="00733572" w:rsidRPr="0037157D">
        <w:rPr>
          <w:rFonts w:ascii="Century Gothic" w:hAnsi="Century Gothic"/>
          <w:sz w:val="22"/>
          <w:szCs w:val="22"/>
          <w:lang w:val="uk-UA"/>
        </w:rPr>
        <w:t>зміни щодо прийнятності коштів враховуються</w:t>
      </w:r>
      <w:r w:rsidR="0078076C" w:rsidRPr="0037157D">
        <w:rPr>
          <w:rFonts w:ascii="Century Gothic" w:hAnsi="Century Gothic"/>
          <w:sz w:val="22"/>
          <w:szCs w:val="22"/>
          <w:lang w:val="uk-UA"/>
        </w:rPr>
        <w:t xml:space="preserve"> аудитором у наступному звіті. </w:t>
      </w:r>
      <w:r w:rsidR="00733572" w:rsidRPr="0037157D">
        <w:rPr>
          <w:rFonts w:ascii="Century Gothic" w:hAnsi="Century Gothic"/>
          <w:sz w:val="22"/>
          <w:szCs w:val="22"/>
          <w:lang w:val="uk-UA"/>
        </w:rPr>
        <w:t>У випадку, якщо звіт</w:t>
      </w:r>
      <w:r w:rsidR="0078076C" w:rsidRPr="0037157D">
        <w:rPr>
          <w:rFonts w:ascii="Century Gothic" w:hAnsi="Century Gothic"/>
          <w:sz w:val="22"/>
          <w:szCs w:val="22"/>
          <w:lang w:val="uk-UA"/>
        </w:rPr>
        <w:t xml:space="preserve"> заключ</w:t>
      </w:r>
      <w:r w:rsidR="00733572" w:rsidRPr="0037157D">
        <w:rPr>
          <w:rFonts w:ascii="Century Gothic" w:hAnsi="Century Gothic"/>
          <w:sz w:val="22"/>
          <w:szCs w:val="22"/>
          <w:lang w:val="uk-UA"/>
        </w:rPr>
        <w:t>ний</w:t>
      </w:r>
      <w:r w:rsidR="0078076C" w:rsidRPr="0037157D">
        <w:rPr>
          <w:rFonts w:ascii="Century Gothic" w:hAnsi="Century Gothic"/>
          <w:sz w:val="22"/>
          <w:szCs w:val="22"/>
          <w:lang w:val="uk-UA"/>
        </w:rPr>
        <w:t xml:space="preserve">, </w:t>
      </w:r>
      <w:r w:rsidR="00733572" w:rsidRPr="0037157D">
        <w:rPr>
          <w:rFonts w:ascii="Century Gothic" w:hAnsi="Century Gothic"/>
          <w:sz w:val="22"/>
          <w:szCs w:val="22"/>
          <w:lang w:val="uk-UA"/>
        </w:rPr>
        <w:t>зміни вносяться до заключного звіту відповідно</w:t>
      </w:r>
      <w:r w:rsidR="001739C3" w:rsidRPr="0037157D">
        <w:rPr>
          <w:sz w:val="22"/>
          <w:szCs w:val="22"/>
          <w:lang w:val="uk-UA"/>
        </w:rPr>
        <w:t>.</w:t>
      </w:r>
    </w:p>
    <w:p w:rsidR="00BE05DC" w:rsidRPr="007C5FA9" w:rsidRDefault="00085A19" w:rsidP="00BE05DC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  <w:lang w:val="uk-UA"/>
        </w:rPr>
      </w:pPr>
      <w:r w:rsidRPr="007C5FA9">
        <w:rPr>
          <w:b/>
          <w:lang w:val="uk-UA"/>
        </w:rPr>
        <w:t>Стаття</w:t>
      </w:r>
      <w:r w:rsidR="00BE05DC" w:rsidRPr="007C5FA9">
        <w:rPr>
          <w:b/>
          <w:lang w:val="uk-UA"/>
        </w:rPr>
        <w:t xml:space="preserve"> 10.</w:t>
      </w:r>
      <w:r w:rsidR="00BE05DC" w:rsidRPr="007C5FA9">
        <w:rPr>
          <w:b/>
          <w:lang w:val="uk-UA"/>
        </w:rPr>
        <w:tab/>
      </w:r>
      <w:r w:rsidRPr="007C5FA9">
        <w:rPr>
          <w:b/>
          <w:lang w:val="uk-UA"/>
        </w:rPr>
        <w:t xml:space="preserve"> </w:t>
      </w:r>
      <w:r w:rsidR="00967EB5" w:rsidRPr="00733572">
        <w:rPr>
          <w:b/>
          <w:lang w:val="uk-UA"/>
        </w:rPr>
        <w:t>Здійсне</w:t>
      </w:r>
      <w:r w:rsidRPr="00733572">
        <w:rPr>
          <w:b/>
          <w:lang w:val="uk-UA"/>
        </w:rPr>
        <w:t xml:space="preserve">ння </w:t>
      </w:r>
      <w:r w:rsidRPr="007C5FA9">
        <w:rPr>
          <w:b/>
          <w:lang w:val="uk-UA"/>
        </w:rPr>
        <w:t>контролю якості органами програми</w:t>
      </w:r>
    </w:p>
    <w:p w:rsidR="00BE05DC" w:rsidRPr="007C5FA9" w:rsidRDefault="00BE05D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uk-UA"/>
        </w:rPr>
      </w:pP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10.1</w:t>
      </w: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ab/>
      </w:r>
      <w:r w:rsidR="00967EB5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Орган управління, Спільний </w:t>
      </w:r>
      <w:r w:rsidR="00733572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Технічний Секретаріат </w:t>
      </w:r>
      <w:r w:rsidR="00967EB5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або Контрольно-контактний пункт можуть здійснювати контроль якості роботи </w:t>
      </w:r>
      <w:r w:rsidR="00357C3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Аудитора</w:t>
      </w:r>
      <w:r w:rsidR="00967EB5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, включаючи перевірку робочих документів, у будь –який момент протягом періоду виконання Грантового договору</w:t>
      </w: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.</w:t>
      </w:r>
    </w:p>
    <w:p w:rsidR="006411D2" w:rsidRPr="007C5FA9" w:rsidRDefault="006411D2" w:rsidP="006411D2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color w:val="FF0000"/>
          <w:sz w:val="22"/>
          <w:szCs w:val="22"/>
          <w:lang w:val="uk-UA"/>
        </w:rPr>
      </w:pP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10.2</w:t>
      </w: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ab/>
      </w:r>
      <w:r w:rsidR="00357C36">
        <w:rPr>
          <w:rFonts w:ascii="Century Gothic" w:eastAsiaTheme="minorHAnsi" w:hAnsi="Century Gothic" w:cstheme="minorBidi"/>
          <w:sz w:val="22"/>
          <w:szCs w:val="22"/>
          <w:lang w:val="uk-UA"/>
        </w:rPr>
        <w:t>Аудитор зберігає</w:t>
      </w:r>
      <w:r w:rsidR="00967EB5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завірені копії, підтверджуючих документів, перевірені для підтвердження прийнятності всіх статей витрат, включених до звіту про хід реалізації проекту, та надати їх на запит Контрольно-контактному пункту або іншому упо</w:t>
      </w:r>
      <w:r w:rsidR="00357C36">
        <w:rPr>
          <w:rFonts w:ascii="Century Gothic" w:eastAsiaTheme="minorHAnsi" w:hAnsi="Century Gothic" w:cstheme="minorBidi"/>
          <w:sz w:val="22"/>
          <w:szCs w:val="22"/>
          <w:lang w:val="uk-UA"/>
        </w:rPr>
        <w:t>вноваженому контролюючому орга</w:t>
      </w:r>
      <w:r w:rsidR="00967EB5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ну. </w:t>
      </w:r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>Запит до Аудитора про надання документів</w:t>
      </w:r>
      <w:r w:rsidR="00967EB5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</w:t>
      </w:r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>можна здійснювати пр</w:t>
      </w:r>
      <w:r w:rsidR="001C22C4" w:rsidRPr="001C22C4">
        <w:rPr>
          <w:rFonts w:ascii="Century Gothic" w:eastAsiaTheme="minorHAnsi" w:hAnsi="Century Gothic" w:cstheme="minorBidi"/>
          <w:sz w:val="22"/>
          <w:szCs w:val="22"/>
          <w:lang w:val="uk-UA"/>
        </w:rPr>
        <w:t>отягом</w:t>
      </w:r>
      <w:r w:rsidR="00967EB5" w:rsidRPr="001C22C4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5 років після затвердження заключного звіту про хід реалізації проекту</w:t>
      </w:r>
      <w:r w:rsidR="003116F5" w:rsidRPr="001C22C4">
        <w:rPr>
          <w:rFonts w:ascii="Century Gothic" w:hAnsi="Century Gothic"/>
          <w:sz w:val="22"/>
          <w:szCs w:val="22"/>
          <w:lang w:val="uk-UA"/>
        </w:rPr>
        <w:t xml:space="preserve">. </w:t>
      </w:r>
    </w:p>
    <w:p w:rsidR="00BE05DC" w:rsidRPr="007C5FA9" w:rsidRDefault="006411D2" w:rsidP="00B82AEF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uk-UA"/>
        </w:rPr>
      </w:pP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lastRenderedPageBreak/>
        <w:t>10.3</w:t>
      </w:r>
      <w:r w:rsidR="00BE05DC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ab/>
      </w:r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>За результатами</w:t>
      </w:r>
      <w:r w:rsidR="00FC1240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контролю якості Контрольно-контактний пункт (також на прохання Органу управління/ Спільного </w:t>
      </w:r>
      <w:r w:rsidR="001C22C4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Технічного Секретаріату</w:t>
      </w:r>
      <w:r w:rsidR="00FC1240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) може відкликати аудитора (видалити аудитора з довгого &lt;а</w:t>
      </w:r>
      <w:r w:rsidR="00732B1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бо короткого&gt; списку)</w:t>
      </w:r>
      <w:r w:rsidR="00B82AEF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.</w:t>
      </w:r>
      <w:r w:rsidR="00985B82" w:rsidRPr="007C5FA9">
        <w:rPr>
          <w:rStyle w:val="Odwoanieprzypisudolnego"/>
          <w:rFonts w:ascii="Century Gothic" w:eastAsiaTheme="minorHAnsi" w:hAnsi="Century Gothic" w:cstheme="minorBidi"/>
          <w:sz w:val="22"/>
          <w:szCs w:val="22"/>
          <w:lang w:val="uk-UA"/>
        </w:rPr>
        <w:footnoteReference w:id="4"/>
      </w:r>
      <w:r w:rsidR="00985B82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</w:t>
      </w:r>
      <w:r w:rsidR="00732B1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</w:t>
      </w:r>
    </w:p>
    <w:p w:rsidR="00FB510C" w:rsidRPr="007C5FA9" w:rsidRDefault="00B82AEF" w:rsidP="00B82AEF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uk-UA"/>
        </w:rPr>
      </w:pP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10.4 </w:t>
      </w: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ab/>
      </w:r>
      <w:r w:rsidR="00732B1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Якщо Контрольно-</w:t>
      </w:r>
      <w:r w:rsidR="002E55F9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контактний</w:t>
      </w:r>
      <w:r w:rsidR="00732B1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пункту </w:t>
      </w:r>
      <w:proofErr w:type="spellStart"/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>відкличе</w:t>
      </w:r>
      <w:proofErr w:type="spellEnd"/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аудитора (вилучить</w:t>
      </w:r>
      <w:r w:rsidR="00732B1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аудитора з довгого &lt;або короткого&gt; списку</w:t>
      </w:r>
      <w:r w:rsidR="00C62243">
        <w:rPr>
          <w:rStyle w:val="Odwoanieprzypisudolnego"/>
          <w:rFonts w:ascii="Century Gothic" w:eastAsiaTheme="minorHAnsi" w:hAnsi="Century Gothic" w:cstheme="minorBidi"/>
          <w:sz w:val="22"/>
          <w:szCs w:val="22"/>
          <w:lang w:val="uk-UA"/>
        </w:rPr>
        <w:footnoteReference w:id="5"/>
      </w:r>
      <w:r w:rsidR="00732B1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) </w:t>
      </w:r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>відповідно до процедур</w:t>
      </w:r>
      <w:r w:rsidR="00732B1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, визначених у Посібнику з перевірки витрат, бенефіціар залишає за собою право розірвати Договір. Таке </w:t>
      </w:r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>розірвання Договору</w:t>
      </w:r>
      <w:r w:rsidR="00732B16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є безоплатним для Бенефіціара. </w:t>
      </w:r>
    </w:p>
    <w:p w:rsidR="007558FB" w:rsidRPr="007C5FA9" w:rsidRDefault="003A757E" w:rsidP="007558FB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uk-UA"/>
        </w:rPr>
      </w:pPr>
      <w:r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10.</w:t>
      </w:r>
      <w:r w:rsidR="00CA49E5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5</w:t>
      </w:r>
      <w:r w:rsidR="007558FB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ab/>
      </w:r>
      <w:r w:rsidR="00491B3E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Аудитор та Бенефіціар підлягають перевіркам та аудитам, які можуть проводитися Європейською Комісією, </w:t>
      </w:r>
      <w:r w:rsidR="00085A19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Європейським управлінням з питань запобігання зловживанням та шахрайству</w:t>
      </w:r>
      <w:r w:rsidR="00491B3E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, Європейським Судом Аудиторів, Ау</w:t>
      </w:r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>диторським органом, що підтримує</w:t>
      </w:r>
      <w:r w:rsidR="00491B3E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ться членами Групи аудиторів та будь-яким зовнішнім аудитором</w:t>
      </w:r>
      <w:r w:rsidR="001C22C4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уповноваженим </w:t>
      </w:r>
      <w:r w:rsidR="00491B3E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</w:t>
      </w:r>
      <w:r w:rsidR="005035C2">
        <w:rPr>
          <w:rFonts w:ascii="Century Gothic" w:eastAsiaTheme="minorHAnsi" w:hAnsi="Century Gothic" w:cstheme="minorBidi"/>
          <w:sz w:val="22"/>
          <w:szCs w:val="22"/>
          <w:lang w:val="uk-UA"/>
        </w:rPr>
        <w:t>здійснювати перевірку витрат у проекті. Під час цього</w:t>
      </w:r>
      <w:r w:rsidR="00491B3E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аудиту та перевірки Аудитор та Бенефіціар повинні вжити заходів для </w:t>
      </w:r>
      <w:r w:rsidR="005035C2">
        <w:rPr>
          <w:rFonts w:ascii="Century Gothic" w:eastAsiaTheme="minorHAnsi" w:hAnsi="Century Gothic" w:cstheme="minorBidi"/>
          <w:sz w:val="22"/>
          <w:szCs w:val="22"/>
          <w:lang w:val="uk-UA"/>
        </w:rPr>
        <w:t>сприяння</w:t>
      </w:r>
      <w:r w:rsidR="00491B3E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та нада</w:t>
      </w:r>
      <w:r w:rsidR="00085A19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ти</w:t>
      </w:r>
      <w:r w:rsidR="00491B3E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доступ до необхідних документів, приміщень</w:t>
      </w:r>
      <w:r w:rsidR="005035C2">
        <w:rPr>
          <w:rFonts w:ascii="Century Gothic" w:eastAsiaTheme="minorHAnsi" w:hAnsi="Century Gothic" w:cstheme="minorBidi"/>
          <w:sz w:val="22"/>
          <w:szCs w:val="22"/>
          <w:lang w:val="uk-UA"/>
        </w:rPr>
        <w:t xml:space="preserve"> тощо</w:t>
      </w:r>
      <w:r w:rsidR="00085A19" w:rsidRPr="007C5FA9">
        <w:rPr>
          <w:rFonts w:ascii="Century Gothic" w:eastAsiaTheme="minorHAnsi" w:hAnsi="Century Gothic" w:cstheme="minorBidi"/>
          <w:sz w:val="22"/>
          <w:szCs w:val="22"/>
          <w:lang w:val="uk-UA"/>
        </w:rPr>
        <w:t>.</w:t>
      </w:r>
    </w:p>
    <w:p w:rsidR="00BE05DC" w:rsidRPr="007C5FA9" w:rsidRDefault="00890F06" w:rsidP="00BE05DC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  <w:lang w:val="uk-UA"/>
        </w:rPr>
      </w:pPr>
      <w:r w:rsidRPr="007C5FA9">
        <w:rPr>
          <w:b/>
          <w:lang w:val="uk-UA"/>
        </w:rPr>
        <w:t>Стаття</w:t>
      </w:r>
      <w:r w:rsidR="00BE05DC" w:rsidRPr="007C5FA9">
        <w:rPr>
          <w:b/>
          <w:lang w:val="uk-UA"/>
        </w:rPr>
        <w:t xml:space="preserve"> 11.</w:t>
      </w:r>
      <w:r w:rsidR="00BE05DC" w:rsidRPr="007C5FA9">
        <w:rPr>
          <w:b/>
          <w:lang w:val="uk-UA"/>
        </w:rPr>
        <w:tab/>
      </w:r>
      <w:r w:rsidRPr="007C5FA9">
        <w:rPr>
          <w:b/>
          <w:lang w:val="uk-UA"/>
        </w:rPr>
        <w:t>Оплата</w:t>
      </w:r>
      <w:r w:rsidR="00BE05DC" w:rsidRPr="007C5FA9">
        <w:rPr>
          <w:b/>
          <w:lang w:val="uk-UA"/>
        </w:rPr>
        <w:t xml:space="preserve"> </w:t>
      </w:r>
    </w:p>
    <w:p w:rsidR="00BE05DC" w:rsidRPr="007C5FA9" w:rsidRDefault="00890F06" w:rsidP="00890F06">
      <w:pPr>
        <w:jc w:val="both"/>
        <w:rPr>
          <w:i/>
          <w:sz w:val="22"/>
          <w:szCs w:val="22"/>
          <w:lang w:val="uk-UA"/>
        </w:rPr>
      </w:pPr>
      <w:r w:rsidRPr="007C5FA9">
        <w:rPr>
          <w:i/>
          <w:sz w:val="22"/>
          <w:szCs w:val="22"/>
          <w:lang w:val="uk-UA"/>
        </w:rPr>
        <w:t>&lt;Бенефіціар повинен вказати будь-які компенсаційні витрати</w:t>
      </w:r>
      <w:r w:rsidR="00491B3E" w:rsidRPr="007C5FA9">
        <w:rPr>
          <w:i/>
          <w:sz w:val="22"/>
          <w:szCs w:val="22"/>
          <w:lang w:val="uk-UA"/>
        </w:rPr>
        <w:t xml:space="preserve"> та надбавки (наприклад, поїздки</w:t>
      </w:r>
      <w:r w:rsidR="00572756">
        <w:rPr>
          <w:i/>
          <w:sz w:val="22"/>
          <w:szCs w:val="22"/>
          <w:lang w:val="uk-UA"/>
        </w:rPr>
        <w:t>, інше</w:t>
      </w:r>
      <w:r w:rsidRPr="007C5FA9">
        <w:rPr>
          <w:i/>
          <w:sz w:val="22"/>
          <w:szCs w:val="22"/>
          <w:lang w:val="uk-UA"/>
        </w:rPr>
        <w:t xml:space="preserve">), узгоджені з Аудитором, якщо вони </w:t>
      </w:r>
      <w:r w:rsidR="00572756">
        <w:rPr>
          <w:i/>
          <w:sz w:val="22"/>
          <w:szCs w:val="22"/>
          <w:lang w:val="uk-UA"/>
        </w:rPr>
        <w:t>не покриваються платою для</w:t>
      </w:r>
      <w:r w:rsidRPr="007C5FA9">
        <w:rPr>
          <w:i/>
          <w:sz w:val="22"/>
          <w:szCs w:val="22"/>
          <w:lang w:val="uk-UA"/>
        </w:rPr>
        <w:t xml:space="preserve"> аудитора, і чи включають ПДВ та</w:t>
      </w:r>
      <w:r w:rsidR="00572756">
        <w:rPr>
          <w:i/>
          <w:sz w:val="22"/>
          <w:szCs w:val="22"/>
          <w:lang w:val="uk-UA"/>
        </w:rPr>
        <w:t xml:space="preserve"> / або інші відповідні податки і</w:t>
      </w:r>
      <w:r w:rsidRPr="007C5FA9">
        <w:rPr>
          <w:i/>
          <w:sz w:val="22"/>
          <w:szCs w:val="22"/>
          <w:lang w:val="uk-UA"/>
        </w:rPr>
        <w:t xml:space="preserve"> збори / витрати</w:t>
      </w:r>
      <w:r w:rsidR="00572756">
        <w:rPr>
          <w:i/>
          <w:sz w:val="22"/>
          <w:szCs w:val="22"/>
          <w:lang w:val="uk-UA"/>
        </w:rPr>
        <w:t>&gt;.</w:t>
      </w:r>
    </w:p>
    <w:p w:rsidR="00BE05DC" w:rsidRPr="007C5FA9" w:rsidRDefault="00BE05DC" w:rsidP="00BE05DC">
      <w:pPr>
        <w:keepNext/>
        <w:keepLines/>
        <w:tabs>
          <w:tab w:val="left" w:pos="1134"/>
        </w:tabs>
        <w:spacing w:before="240" w:after="120"/>
        <w:ind w:left="1134" w:hanging="1134"/>
        <w:rPr>
          <w:b/>
          <w:lang w:val="uk-UA"/>
        </w:rPr>
      </w:pPr>
    </w:p>
    <w:p w:rsidR="00BE05DC" w:rsidRPr="007C5FA9" w:rsidRDefault="00BE05DC" w:rsidP="00BE05DC">
      <w:pPr>
        <w:keepNext/>
        <w:keepLines/>
        <w:spacing w:after="120"/>
        <w:ind w:left="567" w:hanging="567"/>
        <w:rPr>
          <w:sz w:val="22"/>
          <w:szCs w:val="22"/>
          <w:highlight w:val="yellow"/>
          <w:lang w:val="uk-UA"/>
        </w:rPr>
      </w:pPr>
      <w:r w:rsidRPr="007C5FA9">
        <w:rPr>
          <w:sz w:val="22"/>
          <w:szCs w:val="22"/>
          <w:lang w:val="uk-UA"/>
        </w:rPr>
        <w:tab/>
      </w:r>
      <w:r w:rsidR="00890F06" w:rsidRPr="007C5FA9">
        <w:rPr>
          <w:sz w:val="22"/>
          <w:szCs w:val="22"/>
          <w:lang w:val="uk-UA"/>
        </w:rPr>
        <w:t>Платежі здійснюют</w:t>
      </w:r>
      <w:r w:rsidR="00572756">
        <w:rPr>
          <w:sz w:val="22"/>
          <w:szCs w:val="22"/>
          <w:lang w:val="uk-UA"/>
        </w:rPr>
        <w:t>ься відповідно до схеми</w:t>
      </w:r>
      <w:r w:rsidRPr="007C5FA9">
        <w:rPr>
          <w:sz w:val="22"/>
          <w:szCs w:val="22"/>
          <w:lang w:val="uk-UA"/>
        </w:rPr>
        <w:t>:</w:t>
      </w:r>
      <w:r w:rsidRPr="007C5FA9">
        <w:rPr>
          <w:sz w:val="22"/>
          <w:szCs w:val="22"/>
          <w:highlight w:val="yellow"/>
          <w:lang w:val="uk-UA"/>
        </w:rPr>
        <w:t xml:space="preserve"> </w:t>
      </w:r>
    </w:p>
    <w:p w:rsidR="00BE05DC" w:rsidRPr="007C5FA9" w:rsidRDefault="00BE05DC" w:rsidP="00BE05DC">
      <w:pPr>
        <w:keepNext/>
        <w:ind w:left="567"/>
        <w:rPr>
          <w:sz w:val="22"/>
          <w:szCs w:val="22"/>
          <w:lang w:val="uk-UA"/>
        </w:rPr>
      </w:pPr>
    </w:p>
    <w:tbl>
      <w:tblPr>
        <w:tblW w:w="65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820"/>
      </w:tblGrid>
      <w:tr w:rsidR="00BE05DC" w:rsidRPr="007C5FA9" w:rsidTr="00F7200B">
        <w:trPr>
          <w:cantSplit/>
          <w:trHeight w:val="345"/>
        </w:trPr>
        <w:tc>
          <w:tcPr>
            <w:tcW w:w="1730" w:type="dxa"/>
          </w:tcPr>
          <w:p w:rsidR="00BE05DC" w:rsidRPr="007C5FA9" w:rsidRDefault="00890F06" w:rsidP="00F7200B">
            <w:pPr>
              <w:keepNext/>
              <w:spacing w:before="40" w:after="40"/>
              <w:jc w:val="center"/>
              <w:rPr>
                <w:b/>
                <w:lang w:val="uk-UA"/>
              </w:rPr>
            </w:pPr>
            <w:r w:rsidRPr="007C5FA9">
              <w:rPr>
                <w:b/>
                <w:sz w:val="22"/>
                <w:szCs w:val="22"/>
                <w:lang w:val="uk-UA"/>
              </w:rPr>
              <w:t>Звіт</w:t>
            </w:r>
          </w:p>
        </w:tc>
        <w:tc>
          <w:tcPr>
            <w:tcW w:w="4820" w:type="dxa"/>
          </w:tcPr>
          <w:p w:rsidR="00BE05DC" w:rsidRPr="007C5FA9" w:rsidRDefault="00BE05DC" w:rsidP="00890F06">
            <w:pPr>
              <w:keepNext/>
              <w:spacing w:before="40" w:after="40"/>
              <w:jc w:val="center"/>
              <w:rPr>
                <w:b/>
                <w:lang w:val="uk-UA"/>
              </w:rPr>
            </w:pPr>
            <w:r w:rsidRPr="007C5FA9">
              <w:rPr>
                <w:b/>
                <w:sz w:val="22"/>
                <w:szCs w:val="22"/>
                <w:lang w:val="uk-UA"/>
              </w:rPr>
              <w:t>[&lt;</w:t>
            </w:r>
            <w:r w:rsidR="00890F06" w:rsidRPr="007C5FA9">
              <w:rPr>
                <w:b/>
                <w:sz w:val="22"/>
                <w:szCs w:val="22"/>
                <w:lang w:val="uk-UA"/>
              </w:rPr>
              <w:t>код національної валюти</w:t>
            </w:r>
            <w:r w:rsidRPr="007C5FA9">
              <w:rPr>
                <w:b/>
                <w:sz w:val="22"/>
                <w:szCs w:val="22"/>
                <w:lang w:val="uk-UA"/>
              </w:rPr>
              <w:t>&gt;]</w:t>
            </w:r>
          </w:p>
        </w:tc>
      </w:tr>
      <w:tr w:rsidR="00BE05DC" w:rsidRPr="007C5FA9" w:rsidTr="00F7200B">
        <w:trPr>
          <w:cantSplit/>
          <w:trHeight w:val="693"/>
        </w:trPr>
        <w:tc>
          <w:tcPr>
            <w:tcW w:w="1730" w:type="dxa"/>
          </w:tcPr>
          <w:p w:rsidR="00BE05DC" w:rsidRPr="007C5FA9" w:rsidRDefault="00BE05DC" w:rsidP="00F7200B">
            <w:pPr>
              <w:keepNext/>
              <w:spacing w:before="40" w:after="40"/>
              <w:jc w:val="center"/>
              <w:rPr>
                <w:b/>
                <w:lang w:val="uk-UA"/>
              </w:rPr>
            </w:pPr>
            <w:r w:rsidRPr="007C5FA9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4820" w:type="dxa"/>
          </w:tcPr>
          <w:p w:rsidR="00BE05DC" w:rsidRPr="007C5FA9" w:rsidRDefault="00BE05DC" w:rsidP="00890F06">
            <w:pPr>
              <w:keepNext/>
              <w:spacing w:before="40" w:after="40"/>
              <w:jc w:val="center"/>
              <w:rPr>
                <w:lang w:val="uk-UA"/>
              </w:rPr>
            </w:pPr>
            <w:r w:rsidRPr="007C5FA9">
              <w:rPr>
                <w:sz w:val="22"/>
                <w:szCs w:val="22"/>
                <w:lang w:val="uk-UA"/>
              </w:rPr>
              <w:t>&lt;</w:t>
            </w:r>
            <w:r w:rsidRPr="007C5FA9">
              <w:rPr>
                <w:sz w:val="22"/>
                <w:szCs w:val="22"/>
                <w:highlight w:val="yellow"/>
                <w:lang w:val="uk-UA"/>
              </w:rPr>
              <w:t xml:space="preserve">X% </w:t>
            </w:r>
            <w:r w:rsidR="00890F06" w:rsidRPr="007C5FA9">
              <w:rPr>
                <w:sz w:val="22"/>
                <w:szCs w:val="22"/>
                <w:highlight w:val="yellow"/>
                <w:lang w:val="uk-UA"/>
              </w:rPr>
              <w:t>від вартості Договору</w:t>
            </w:r>
            <w:r w:rsidRPr="007C5FA9">
              <w:rPr>
                <w:sz w:val="22"/>
                <w:szCs w:val="22"/>
                <w:lang w:val="uk-UA"/>
              </w:rPr>
              <w:t>&gt;</w:t>
            </w:r>
          </w:p>
        </w:tc>
      </w:tr>
      <w:tr w:rsidR="00BE05DC" w:rsidRPr="007C5FA9" w:rsidTr="00F7200B">
        <w:trPr>
          <w:cantSplit/>
          <w:trHeight w:val="831"/>
        </w:trPr>
        <w:tc>
          <w:tcPr>
            <w:tcW w:w="1730" w:type="dxa"/>
            <w:tcBorders>
              <w:bottom w:val="nil"/>
            </w:tcBorders>
          </w:tcPr>
          <w:p w:rsidR="00BE05DC" w:rsidRPr="007C5FA9" w:rsidRDefault="00890F06" w:rsidP="00F7200B">
            <w:pPr>
              <w:spacing w:before="40" w:after="40"/>
              <w:jc w:val="center"/>
              <w:rPr>
                <w:b/>
                <w:lang w:val="uk-UA"/>
              </w:rPr>
            </w:pPr>
            <w:r w:rsidRPr="007C5FA9">
              <w:rPr>
                <w:b/>
                <w:sz w:val="22"/>
                <w:szCs w:val="22"/>
                <w:highlight w:val="yellow"/>
                <w:lang w:val="uk-UA"/>
              </w:rPr>
              <w:t>&lt;№</w:t>
            </w:r>
            <w:r w:rsidR="00BE05DC" w:rsidRPr="007C5FA9">
              <w:rPr>
                <w:b/>
                <w:sz w:val="22"/>
                <w:szCs w:val="22"/>
                <w:highlight w:val="yellow"/>
                <w:lang w:val="uk-UA"/>
              </w:rPr>
              <w:t>&gt;</w:t>
            </w:r>
          </w:p>
        </w:tc>
        <w:tc>
          <w:tcPr>
            <w:tcW w:w="4820" w:type="dxa"/>
            <w:tcBorders>
              <w:bottom w:val="nil"/>
            </w:tcBorders>
          </w:tcPr>
          <w:p w:rsidR="00BE05DC" w:rsidRPr="007C5FA9" w:rsidRDefault="00BE05DC" w:rsidP="00890F06">
            <w:pPr>
              <w:jc w:val="center"/>
              <w:rPr>
                <w:lang w:val="uk-UA"/>
              </w:rPr>
            </w:pPr>
            <w:r w:rsidRPr="007C5FA9">
              <w:rPr>
                <w:sz w:val="22"/>
                <w:szCs w:val="22"/>
                <w:lang w:val="uk-UA"/>
              </w:rPr>
              <w:t>&lt;</w:t>
            </w:r>
            <w:r w:rsidRPr="007C5FA9">
              <w:rPr>
                <w:sz w:val="22"/>
                <w:szCs w:val="22"/>
                <w:highlight w:val="yellow"/>
                <w:lang w:val="uk-UA"/>
              </w:rPr>
              <w:t>X</w:t>
            </w:r>
            <w:r w:rsidRPr="007C5FA9">
              <w:rPr>
                <w:w w:val="50"/>
                <w:sz w:val="22"/>
                <w:szCs w:val="22"/>
                <w:highlight w:val="yellow"/>
                <w:lang w:val="uk-UA"/>
              </w:rPr>
              <w:t> </w:t>
            </w:r>
            <w:r w:rsidRPr="007C5FA9">
              <w:rPr>
                <w:sz w:val="22"/>
                <w:szCs w:val="22"/>
                <w:highlight w:val="yellow"/>
                <w:lang w:val="uk-UA"/>
              </w:rPr>
              <w:t xml:space="preserve">% </w:t>
            </w:r>
            <w:r w:rsidR="00890F06" w:rsidRPr="007C5FA9">
              <w:rPr>
                <w:sz w:val="22"/>
                <w:szCs w:val="22"/>
                <w:highlight w:val="yellow"/>
                <w:lang w:val="uk-UA"/>
              </w:rPr>
              <w:t>від вартості Договору</w:t>
            </w:r>
            <w:r w:rsidR="00890F06" w:rsidRPr="007C5FA9">
              <w:rPr>
                <w:sz w:val="22"/>
                <w:szCs w:val="22"/>
                <w:lang w:val="uk-UA"/>
              </w:rPr>
              <w:t xml:space="preserve"> </w:t>
            </w:r>
            <w:r w:rsidRPr="007C5FA9">
              <w:rPr>
                <w:sz w:val="22"/>
                <w:szCs w:val="22"/>
                <w:lang w:val="uk-UA"/>
              </w:rPr>
              <w:t>&gt;</w:t>
            </w:r>
          </w:p>
        </w:tc>
      </w:tr>
      <w:tr w:rsidR="00BE05DC" w:rsidRPr="007C5FA9" w:rsidTr="00F7200B">
        <w:trPr>
          <w:cantSplit/>
          <w:trHeight w:val="814"/>
        </w:trPr>
        <w:tc>
          <w:tcPr>
            <w:tcW w:w="1730" w:type="dxa"/>
            <w:tcBorders>
              <w:bottom w:val="nil"/>
            </w:tcBorders>
          </w:tcPr>
          <w:p w:rsidR="00BE05DC" w:rsidRPr="007C5FA9" w:rsidRDefault="00890F06" w:rsidP="00F7200B">
            <w:pPr>
              <w:spacing w:before="40" w:after="40"/>
              <w:jc w:val="center"/>
              <w:rPr>
                <w:b/>
                <w:lang w:val="uk-UA"/>
              </w:rPr>
            </w:pPr>
            <w:r w:rsidRPr="007C5FA9">
              <w:rPr>
                <w:b/>
                <w:sz w:val="22"/>
                <w:szCs w:val="22"/>
                <w:lang w:val="uk-UA"/>
              </w:rPr>
              <w:t>Заключний звіт</w:t>
            </w:r>
          </w:p>
        </w:tc>
        <w:tc>
          <w:tcPr>
            <w:tcW w:w="4820" w:type="dxa"/>
            <w:tcBorders>
              <w:bottom w:val="nil"/>
            </w:tcBorders>
          </w:tcPr>
          <w:p w:rsidR="00BE05DC" w:rsidRPr="007C5FA9" w:rsidRDefault="00BE05DC" w:rsidP="00F7200B">
            <w:pPr>
              <w:jc w:val="center"/>
              <w:rPr>
                <w:lang w:val="uk-UA"/>
              </w:rPr>
            </w:pPr>
            <w:r w:rsidRPr="007C5FA9">
              <w:rPr>
                <w:sz w:val="22"/>
                <w:szCs w:val="22"/>
                <w:lang w:val="uk-UA"/>
              </w:rPr>
              <w:t>&lt;</w:t>
            </w:r>
            <w:r w:rsidRPr="007C5FA9">
              <w:rPr>
                <w:sz w:val="22"/>
                <w:szCs w:val="22"/>
                <w:highlight w:val="yellow"/>
                <w:lang w:val="uk-UA"/>
              </w:rPr>
              <w:t xml:space="preserve">X % </w:t>
            </w:r>
            <w:r w:rsidR="00890F06" w:rsidRPr="007C5FA9">
              <w:rPr>
                <w:sz w:val="22"/>
                <w:szCs w:val="22"/>
                <w:highlight w:val="yellow"/>
                <w:lang w:val="uk-UA"/>
              </w:rPr>
              <w:t>від вартості Договору</w:t>
            </w:r>
            <w:r w:rsidRPr="007C5FA9">
              <w:rPr>
                <w:sz w:val="22"/>
                <w:szCs w:val="22"/>
                <w:lang w:val="uk-UA"/>
              </w:rPr>
              <w:t>&gt;</w:t>
            </w:r>
          </w:p>
          <w:p w:rsidR="00BE05DC" w:rsidRPr="007C5FA9" w:rsidRDefault="00BE05DC" w:rsidP="00F7200B">
            <w:pPr>
              <w:jc w:val="center"/>
              <w:rPr>
                <w:lang w:val="uk-UA"/>
              </w:rPr>
            </w:pPr>
          </w:p>
        </w:tc>
      </w:tr>
      <w:tr w:rsidR="00BE05DC" w:rsidRPr="007C5FA9" w:rsidTr="00F7200B">
        <w:trPr>
          <w:cantSplit/>
          <w:trHeight w:val="373"/>
        </w:trPr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:rsidR="00BE05DC" w:rsidRPr="007C5FA9" w:rsidRDefault="00BE05DC" w:rsidP="00F7200B">
            <w:pPr>
              <w:spacing w:before="40" w:after="40"/>
              <w:jc w:val="center"/>
              <w:rPr>
                <w:b/>
                <w:lang w:val="uk-UA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:rsidR="00BE05DC" w:rsidRPr="007C5FA9" w:rsidRDefault="00BE05DC" w:rsidP="00890F06">
            <w:pPr>
              <w:jc w:val="center"/>
              <w:rPr>
                <w:lang w:val="uk-UA"/>
              </w:rPr>
            </w:pPr>
            <w:r w:rsidRPr="007C5FA9">
              <w:rPr>
                <w:sz w:val="22"/>
                <w:szCs w:val="22"/>
                <w:lang w:val="uk-UA"/>
              </w:rPr>
              <w:t>&lt;</w:t>
            </w:r>
            <w:r w:rsidR="00890F06" w:rsidRPr="007C5FA9">
              <w:rPr>
                <w:sz w:val="22"/>
                <w:szCs w:val="22"/>
                <w:highlight w:val="yellow"/>
                <w:lang w:val="uk-UA"/>
              </w:rPr>
              <w:t>Загальна вартість Договору</w:t>
            </w:r>
            <w:r w:rsidR="00890F06" w:rsidRPr="007C5FA9">
              <w:rPr>
                <w:sz w:val="22"/>
                <w:szCs w:val="22"/>
                <w:lang w:val="uk-UA"/>
              </w:rPr>
              <w:t xml:space="preserve"> </w:t>
            </w:r>
            <w:r w:rsidRPr="007C5FA9">
              <w:rPr>
                <w:sz w:val="22"/>
                <w:szCs w:val="22"/>
                <w:lang w:val="uk-UA"/>
              </w:rPr>
              <w:t>&gt;</w:t>
            </w:r>
          </w:p>
        </w:tc>
      </w:tr>
    </w:tbl>
    <w:p w:rsidR="00BE05DC" w:rsidRPr="007C5FA9" w:rsidRDefault="00BE05DC" w:rsidP="00BE05DC">
      <w:pPr>
        <w:tabs>
          <w:tab w:val="left" w:pos="567"/>
        </w:tabs>
        <w:spacing w:after="120"/>
        <w:ind w:left="567" w:hanging="567"/>
        <w:rPr>
          <w:sz w:val="22"/>
          <w:szCs w:val="22"/>
          <w:lang w:val="uk-UA"/>
        </w:rPr>
      </w:pPr>
    </w:p>
    <w:p w:rsidR="00BE05DC" w:rsidRPr="007C5FA9" w:rsidRDefault="00890F06" w:rsidP="00BE05DC">
      <w:pPr>
        <w:keepNext/>
        <w:keepLines/>
        <w:tabs>
          <w:tab w:val="left" w:pos="1134"/>
          <w:tab w:val="left" w:pos="6495"/>
        </w:tabs>
        <w:spacing w:before="240" w:after="120"/>
        <w:ind w:left="1134" w:hanging="1134"/>
        <w:rPr>
          <w:b/>
          <w:lang w:val="uk-UA"/>
        </w:rPr>
      </w:pPr>
      <w:r w:rsidRPr="007C5FA9">
        <w:rPr>
          <w:b/>
          <w:lang w:val="uk-UA"/>
        </w:rPr>
        <w:t xml:space="preserve">Стаття </w:t>
      </w:r>
      <w:r w:rsidR="00BE05DC" w:rsidRPr="007C5FA9">
        <w:rPr>
          <w:b/>
          <w:lang w:val="uk-UA"/>
        </w:rPr>
        <w:t xml:space="preserve">12. </w:t>
      </w:r>
      <w:r w:rsidRPr="007C5FA9">
        <w:rPr>
          <w:b/>
          <w:lang w:val="uk-UA"/>
        </w:rPr>
        <w:t>Вирішення спорів та чинне законодавство</w:t>
      </w:r>
    </w:p>
    <w:p w:rsidR="00BE05DC" w:rsidRPr="007C5FA9" w:rsidRDefault="00BE05DC" w:rsidP="00967EB5">
      <w:pPr>
        <w:spacing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12.1</w:t>
      </w:r>
      <w:r w:rsidRPr="007C5FA9">
        <w:rPr>
          <w:sz w:val="22"/>
          <w:szCs w:val="22"/>
          <w:lang w:val="uk-UA"/>
        </w:rPr>
        <w:tab/>
      </w:r>
      <w:r w:rsidR="00890F06" w:rsidRPr="007C5FA9">
        <w:rPr>
          <w:sz w:val="22"/>
          <w:szCs w:val="22"/>
          <w:lang w:val="uk-UA"/>
        </w:rPr>
        <w:t>Будь-які спори, що виникають з цього Договору або пов'язані з ним, які не можуть бути врегульовані мирним шляхом, належать до виключної юрисдикції судів місцезнаходження Бенефіціара</w:t>
      </w:r>
      <w:r w:rsidRPr="007C5FA9">
        <w:rPr>
          <w:sz w:val="22"/>
          <w:szCs w:val="22"/>
          <w:lang w:val="uk-UA"/>
        </w:rPr>
        <w:t xml:space="preserve">. </w:t>
      </w:r>
    </w:p>
    <w:p w:rsidR="00085A19" w:rsidRPr="007C5FA9" w:rsidRDefault="00BE05DC" w:rsidP="00967EB5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uk-UA"/>
        </w:rPr>
      </w:pPr>
      <w:r w:rsidRPr="007C5FA9">
        <w:rPr>
          <w:sz w:val="22"/>
          <w:lang w:val="uk-UA"/>
        </w:rPr>
        <w:t xml:space="preserve">12.2 </w:t>
      </w:r>
      <w:r w:rsidRPr="007C5FA9">
        <w:rPr>
          <w:sz w:val="22"/>
          <w:lang w:val="uk-UA"/>
        </w:rPr>
        <w:tab/>
      </w:r>
      <w:r w:rsidR="00890F06" w:rsidRPr="007C5FA9">
        <w:rPr>
          <w:sz w:val="22"/>
          <w:lang w:val="uk-UA"/>
        </w:rPr>
        <w:t>Цей Договір регулюється законодавством країни Бенефіціара</w:t>
      </w:r>
      <w:r w:rsidRPr="007C5FA9">
        <w:rPr>
          <w:sz w:val="22"/>
          <w:lang w:val="uk-UA"/>
        </w:rPr>
        <w:t>.</w:t>
      </w:r>
    </w:p>
    <w:p w:rsidR="00085A19" w:rsidRPr="007C5FA9" w:rsidRDefault="00085A19" w:rsidP="00085A19">
      <w:pPr>
        <w:tabs>
          <w:tab w:val="left" w:pos="1417"/>
          <w:tab w:val="left" w:pos="2126"/>
          <w:tab w:val="left" w:pos="2835"/>
        </w:tabs>
        <w:spacing w:after="120"/>
        <w:ind w:left="567" w:hanging="567"/>
        <w:rPr>
          <w:sz w:val="22"/>
          <w:lang w:val="uk-UA"/>
        </w:rPr>
      </w:pPr>
    </w:p>
    <w:p w:rsidR="00085A19" w:rsidRPr="007C5FA9" w:rsidRDefault="00F93BEE" w:rsidP="00085A19">
      <w:pPr>
        <w:tabs>
          <w:tab w:val="left" w:pos="1417"/>
          <w:tab w:val="left" w:pos="2126"/>
          <w:tab w:val="left" w:pos="2835"/>
        </w:tabs>
        <w:spacing w:after="120"/>
        <w:ind w:left="567" w:hanging="567"/>
        <w:rPr>
          <w:b/>
          <w:lang w:val="uk-UA"/>
        </w:rPr>
      </w:pPr>
      <w:r w:rsidRPr="007C5FA9">
        <w:rPr>
          <w:b/>
          <w:lang w:val="uk-UA"/>
        </w:rPr>
        <w:t xml:space="preserve">Стаття </w:t>
      </w:r>
      <w:r w:rsidR="00BE05DC" w:rsidRPr="007C5FA9">
        <w:rPr>
          <w:b/>
          <w:lang w:val="uk-UA"/>
        </w:rPr>
        <w:t xml:space="preserve">13. </w:t>
      </w:r>
      <w:r w:rsidRPr="007C5FA9">
        <w:rPr>
          <w:b/>
          <w:lang w:val="uk-UA"/>
        </w:rPr>
        <w:t>Захист даних</w:t>
      </w:r>
    </w:p>
    <w:p w:rsidR="00085A19" w:rsidRPr="007C5FA9" w:rsidRDefault="00085A19" w:rsidP="00085A19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b/>
          <w:lang w:val="uk-UA"/>
        </w:rPr>
      </w:pPr>
      <w:r w:rsidRPr="007C5FA9">
        <w:rPr>
          <w:sz w:val="22"/>
          <w:szCs w:val="22"/>
          <w:lang w:val="uk-UA"/>
        </w:rPr>
        <w:t>13</w:t>
      </w:r>
      <w:r w:rsidR="0053008A" w:rsidRPr="007C5FA9">
        <w:rPr>
          <w:sz w:val="22"/>
          <w:szCs w:val="22"/>
          <w:lang w:val="uk-UA"/>
        </w:rPr>
        <w:t xml:space="preserve">.1 </w:t>
      </w:r>
      <w:r w:rsidR="00F93BEE" w:rsidRPr="007C5FA9">
        <w:rPr>
          <w:rFonts w:cs="Arial"/>
          <w:spacing w:val="4"/>
          <w:kern w:val="36"/>
          <w:sz w:val="22"/>
          <w:szCs w:val="22"/>
          <w:lang w:val="uk-UA"/>
        </w:rPr>
        <w:t>Бенефіціар усвідомлює, що він / вона є адміністратором персональних даних, переданих Аудитору для цілей виконання Договору. Бенефіціар доручає Аудиторові обробку цих персональних даних</w:t>
      </w:r>
      <w:r w:rsidRPr="007C5FA9">
        <w:rPr>
          <w:rFonts w:cs="Arial"/>
          <w:spacing w:val="4"/>
          <w:kern w:val="36"/>
          <w:sz w:val="22"/>
          <w:szCs w:val="22"/>
          <w:lang w:val="uk-UA"/>
        </w:rPr>
        <w:t>.</w:t>
      </w:r>
    </w:p>
    <w:p w:rsidR="00085A19" w:rsidRPr="007C5FA9" w:rsidRDefault="0053008A" w:rsidP="00085A19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b/>
          <w:lang w:val="uk-UA"/>
        </w:rPr>
      </w:pPr>
      <w:r w:rsidRPr="007C5FA9">
        <w:rPr>
          <w:rFonts w:cs="Arial"/>
          <w:spacing w:val="4"/>
          <w:kern w:val="36"/>
          <w:sz w:val="22"/>
          <w:szCs w:val="22"/>
          <w:lang w:val="uk-UA"/>
        </w:rPr>
        <w:t>13.2</w:t>
      </w:r>
      <w:r w:rsidR="0077758A">
        <w:rPr>
          <w:rFonts w:cs="Arial"/>
          <w:spacing w:val="4"/>
          <w:kern w:val="36"/>
          <w:sz w:val="22"/>
          <w:szCs w:val="22"/>
          <w:lang w:val="uk-UA"/>
        </w:rPr>
        <w:tab/>
        <w:t>Аудитор надає</w:t>
      </w:r>
      <w:r w:rsidR="00572756">
        <w:rPr>
          <w:rFonts w:cs="Arial"/>
          <w:spacing w:val="4"/>
          <w:kern w:val="36"/>
          <w:sz w:val="22"/>
          <w:szCs w:val="22"/>
          <w:lang w:val="uk-UA"/>
        </w:rPr>
        <w:t xml:space="preserve"> доступ до даних</w:t>
      </w:r>
      <w:r w:rsidR="00A772E6" w:rsidRPr="00572756">
        <w:rPr>
          <w:rFonts w:cs="Arial"/>
          <w:spacing w:val="4"/>
          <w:kern w:val="36"/>
          <w:sz w:val="22"/>
          <w:szCs w:val="22"/>
          <w:lang w:val="uk-UA"/>
        </w:rPr>
        <w:t xml:space="preserve"> Б</w:t>
      </w:r>
      <w:r w:rsidR="0077758A">
        <w:rPr>
          <w:rFonts w:cs="Arial"/>
          <w:spacing w:val="4"/>
          <w:kern w:val="36"/>
          <w:sz w:val="22"/>
          <w:szCs w:val="22"/>
          <w:lang w:val="uk-UA"/>
        </w:rPr>
        <w:t xml:space="preserve">енефіціара виключно </w:t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>персоналу,</w:t>
      </w:r>
      <w:r w:rsidR="00A772E6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 </w:t>
      </w:r>
      <w:r w:rsidR="0077758A">
        <w:rPr>
          <w:rFonts w:cs="Arial"/>
          <w:spacing w:val="4"/>
          <w:kern w:val="36"/>
          <w:sz w:val="22"/>
          <w:szCs w:val="22"/>
          <w:lang w:val="uk-UA"/>
        </w:rPr>
        <w:t>залученому</w:t>
      </w:r>
      <w:r w:rsidR="00A772E6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 для виконання, управління і моніторингу договору і гарантує, що ці особи взяли на себе зобов'язання дотримуватися конфіденційності. </w:t>
      </w:r>
    </w:p>
    <w:p w:rsidR="00085A19" w:rsidRPr="007C5FA9" w:rsidRDefault="0053008A" w:rsidP="00085A19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b/>
          <w:lang w:val="uk-UA"/>
        </w:rPr>
      </w:pPr>
      <w:r w:rsidRPr="007C5FA9">
        <w:rPr>
          <w:sz w:val="22"/>
          <w:szCs w:val="22"/>
          <w:lang w:val="uk-UA"/>
        </w:rPr>
        <w:t>13.3</w:t>
      </w:r>
      <w:r w:rsidR="008D5A78" w:rsidRPr="007C5FA9">
        <w:rPr>
          <w:sz w:val="22"/>
          <w:szCs w:val="22"/>
          <w:lang w:val="uk-UA"/>
        </w:rPr>
        <w:tab/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Аудитор усвідомлює, що його / її персональні дані будуть оброблятися органами, відповідальними за реалізацію програми, такими як - Орган управління, Спільний технічний секретаріат і </w:t>
      </w:r>
      <w:r w:rsidR="00967EB5" w:rsidRPr="007C5FA9">
        <w:rPr>
          <w:rFonts w:cs="Arial"/>
          <w:spacing w:val="4"/>
          <w:kern w:val="36"/>
          <w:sz w:val="22"/>
          <w:szCs w:val="22"/>
          <w:lang w:val="uk-UA"/>
        </w:rPr>
        <w:t>К</w:t>
      </w:r>
      <w:r w:rsidR="00394DEE" w:rsidRPr="007C5FA9">
        <w:rPr>
          <w:rFonts w:cs="Arial"/>
          <w:spacing w:val="4"/>
          <w:kern w:val="36"/>
          <w:sz w:val="22"/>
          <w:szCs w:val="22"/>
          <w:lang w:val="uk-UA"/>
        </w:rPr>
        <w:t>онтрольно-</w:t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контактний пункт. </w:t>
      </w:r>
      <w:r w:rsidR="00752A97">
        <w:rPr>
          <w:rFonts w:cs="Arial"/>
          <w:spacing w:val="4"/>
          <w:kern w:val="36"/>
          <w:sz w:val="22"/>
          <w:szCs w:val="22"/>
          <w:lang w:val="uk-UA"/>
        </w:rPr>
        <w:t>Обро</w:t>
      </w:r>
      <w:r w:rsidR="00394DEE" w:rsidRPr="007C5FA9">
        <w:rPr>
          <w:rFonts w:cs="Arial"/>
          <w:spacing w:val="4"/>
          <w:kern w:val="36"/>
          <w:sz w:val="22"/>
          <w:szCs w:val="22"/>
          <w:lang w:val="uk-UA"/>
        </w:rPr>
        <w:t>бка д</w:t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>ан</w:t>
      </w:r>
      <w:r w:rsidR="00394DEE" w:rsidRPr="007C5FA9">
        <w:rPr>
          <w:rFonts w:cs="Arial"/>
          <w:spacing w:val="4"/>
          <w:kern w:val="36"/>
          <w:sz w:val="22"/>
          <w:szCs w:val="22"/>
          <w:lang w:val="uk-UA"/>
        </w:rPr>
        <w:t>их в</w:t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>і</w:t>
      </w:r>
      <w:r w:rsidR="00394DEE" w:rsidRPr="007C5FA9">
        <w:rPr>
          <w:rFonts w:cs="Arial"/>
          <w:spacing w:val="4"/>
          <w:kern w:val="36"/>
          <w:sz w:val="22"/>
          <w:szCs w:val="22"/>
          <w:lang w:val="uk-UA"/>
        </w:rPr>
        <w:t>д</w:t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>бу</w:t>
      </w:r>
      <w:r w:rsidR="00394DEE" w:rsidRPr="007C5FA9">
        <w:rPr>
          <w:rFonts w:cs="Arial"/>
          <w:spacing w:val="4"/>
          <w:kern w:val="36"/>
          <w:sz w:val="22"/>
          <w:szCs w:val="22"/>
          <w:lang w:val="uk-UA"/>
        </w:rPr>
        <w:t>ватиметься</w:t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 у зв'язку з перевіркою звітів про хід </w:t>
      </w:r>
      <w:r w:rsidR="00394DEE" w:rsidRPr="007C5FA9">
        <w:rPr>
          <w:rFonts w:cs="Arial"/>
          <w:spacing w:val="4"/>
          <w:kern w:val="36"/>
          <w:sz w:val="22"/>
          <w:szCs w:val="22"/>
          <w:lang w:val="uk-UA"/>
        </w:rPr>
        <w:t>реалізації проекту, врегулювання</w:t>
      </w:r>
      <w:r w:rsidR="00A63F54" w:rsidRPr="007C5FA9">
        <w:rPr>
          <w:rFonts w:cs="Arial"/>
          <w:spacing w:val="4"/>
          <w:kern w:val="36"/>
          <w:sz w:val="22"/>
          <w:szCs w:val="22"/>
          <w:lang w:val="uk-UA"/>
        </w:rPr>
        <w:t>м</w:t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 витрат, понесе</w:t>
      </w:r>
      <w:r w:rsidR="00394DEE" w:rsidRPr="007C5FA9">
        <w:rPr>
          <w:rFonts w:cs="Arial"/>
          <w:spacing w:val="4"/>
          <w:kern w:val="36"/>
          <w:sz w:val="22"/>
          <w:szCs w:val="22"/>
          <w:lang w:val="uk-UA"/>
        </w:rPr>
        <w:t>них бенефіціаром, та проведення</w:t>
      </w:r>
      <w:r w:rsidR="00F95108">
        <w:rPr>
          <w:rFonts w:cs="Arial"/>
          <w:spacing w:val="4"/>
          <w:kern w:val="36"/>
          <w:sz w:val="22"/>
          <w:szCs w:val="22"/>
          <w:lang w:val="uk-UA"/>
        </w:rPr>
        <w:t>м</w:t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 системного контролю. Адміністратором цих персональних даних є міністр, який відповідає за регіональний розвиток в Польщі з місцем знаходження у Варшаві за </w:t>
      </w:r>
      <w:proofErr w:type="spellStart"/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>адресою</w:t>
      </w:r>
      <w:proofErr w:type="spellEnd"/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 вул. </w:t>
      </w:r>
      <w:proofErr w:type="spellStart"/>
      <w:r w:rsidR="00890F06" w:rsidRPr="007C5FA9">
        <w:rPr>
          <w:rFonts w:cs="Arial"/>
          <w:spacing w:val="4"/>
          <w:kern w:val="36"/>
          <w:sz w:val="22"/>
          <w:szCs w:val="22"/>
          <w:lang w:val="uk-UA"/>
        </w:rPr>
        <w:t>Вспульна</w:t>
      </w:r>
      <w:proofErr w:type="spellEnd"/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 2/4, 00-926 Варшава. Адреса електронної пошти співробітника з питань захисту даних: </w:t>
      </w:r>
      <w:hyperlink r:id="rId8" w:history="1">
        <w:r w:rsidR="00085A19" w:rsidRPr="007C5FA9">
          <w:rPr>
            <w:rStyle w:val="Hipercze"/>
            <w:rFonts w:cs="Arial"/>
            <w:spacing w:val="4"/>
            <w:kern w:val="36"/>
            <w:sz w:val="22"/>
            <w:szCs w:val="22"/>
            <w:lang w:val="uk-UA"/>
          </w:rPr>
          <w:t>iod@miir.gov.pl</w:t>
        </w:r>
      </w:hyperlink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>.</w:t>
      </w:r>
    </w:p>
    <w:p w:rsidR="00085A19" w:rsidRPr="007C5FA9" w:rsidRDefault="00085A19" w:rsidP="00085A19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b/>
          <w:lang w:val="uk-UA"/>
        </w:rPr>
      </w:pPr>
      <w:r w:rsidRPr="007C5FA9">
        <w:rPr>
          <w:b/>
          <w:lang w:val="uk-UA"/>
        </w:rPr>
        <w:tab/>
      </w:r>
      <w:r w:rsidR="008D5A78" w:rsidRPr="007C5FA9">
        <w:rPr>
          <w:rFonts w:cs="Arial"/>
          <w:spacing w:val="4"/>
          <w:kern w:val="36"/>
          <w:sz w:val="22"/>
          <w:szCs w:val="22"/>
          <w:lang w:val="uk-UA"/>
        </w:rPr>
        <w:t>Аудитор може отримати доступ до своїх даних, доповнити їх, оновити або виправити їх</w:t>
      </w:r>
      <w:r w:rsidR="00890F06" w:rsidRPr="007C5FA9">
        <w:rPr>
          <w:rFonts w:cs="Arial"/>
          <w:spacing w:val="4"/>
          <w:kern w:val="36"/>
          <w:sz w:val="22"/>
          <w:szCs w:val="22"/>
          <w:lang w:val="uk-UA"/>
        </w:rPr>
        <w:t>.</w:t>
      </w:r>
    </w:p>
    <w:p w:rsidR="00EA42E9" w:rsidRPr="007C5FA9" w:rsidRDefault="0053008A" w:rsidP="00085A19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b/>
          <w:lang w:val="uk-UA"/>
        </w:rPr>
      </w:pPr>
      <w:r w:rsidRPr="007C5FA9">
        <w:rPr>
          <w:sz w:val="22"/>
          <w:szCs w:val="22"/>
          <w:lang w:val="uk-UA"/>
        </w:rPr>
        <w:t>13.4</w:t>
      </w:r>
      <w:r w:rsidR="00890F06" w:rsidRPr="007C5FA9">
        <w:rPr>
          <w:sz w:val="22"/>
          <w:szCs w:val="22"/>
          <w:lang w:val="uk-UA"/>
        </w:rPr>
        <w:tab/>
        <w:t>Деталі, що стосуються передачі персональних даних, вирішуються між сторонами відповідно до правил, що діють в даній країні</w:t>
      </w:r>
      <w:r w:rsidRPr="007C5FA9">
        <w:rPr>
          <w:rStyle w:val="Odwoanieprzypisudolnego"/>
          <w:sz w:val="22"/>
          <w:szCs w:val="22"/>
          <w:lang w:val="uk-UA"/>
        </w:rPr>
        <w:footnoteReference w:id="6"/>
      </w:r>
      <w:r w:rsidRPr="007C5FA9">
        <w:rPr>
          <w:sz w:val="22"/>
          <w:szCs w:val="22"/>
          <w:lang w:val="uk-UA"/>
        </w:rPr>
        <w:t>.</w:t>
      </w:r>
    </w:p>
    <w:p w:rsidR="00BE05DC" w:rsidRPr="007C5FA9" w:rsidRDefault="00AC3762" w:rsidP="00812509">
      <w:pPr>
        <w:keepNext/>
        <w:keepLines/>
        <w:tabs>
          <w:tab w:val="left" w:pos="567"/>
        </w:tabs>
        <w:spacing w:before="240" w:after="120"/>
        <w:ind w:left="567" w:hanging="567"/>
        <w:jc w:val="both"/>
        <w:rPr>
          <w:b/>
          <w:lang w:val="uk-UA"/>
        </w:rPr>
      </w:pPr>
      <w:r w:rsidRPr="007C5FA9">
        <w:rPr>
          <w:b/>
          <w:lang w:val="uk-UA"/>
        </w:rPr>
        <w:t>Стаття</w:t>
      </w:r>
      <w:r w:rsidR="00BE05DC" w:rsidRPr="007C5FA9">
        <w:rPr>
          <w:b/>
          <w:lang w:val="uk-UA"/>
        </w:rPr>
        <w:t xml:space="preserve"> 14. </w:t>
      </w:r>
      <w:r w:rsidRPr="007C5FA9">
        <w:rPr>
          <w:b/>
          <w:lang w:val="uk-UA"/>
        </w:rPr>
        <w:t>Неупередженість та конфіденційність</w:t>
      </w:r>
    </w:p>
    <w:p w:rsidR="00F93BEE" w:rsidRPr="007C5FA9" w:rsidRDefault="001A7209" w:rsidP="00F93BEE">
      <w:pPr>
        <w:keepNext/>
        <w:keepLines/>
        <w:tabs>
          <w:tab w:val="left" w:pos="567"/>
        </w:tabs>
        <w:spacing w:before="240"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rFonts w:cs="Arial"/>
          <w:spacing w:val="4"/>
          <w:kern w:val="36"/>
          <w:sz w:val="22"/>
          <w:szCs w:val="22"/>
          <w:lang w:val="uk-UA"/>
        </w:rPr>
        <w:t xml:space="preserve">14.1. </w:t>
      </w:r>
      <w:r w:rsidR="00F93BEE" w:rsidRPr="007C5FA9">
        <w:rPr>
          <w:sz w:val="22"/>
          <w:szCs w:val="22"/>
          <w:lang w:val="uk-UA"/>
        </w:rPr>
        <w:t>Аудитор та Бенефіціар вживають у</w:t>
      </w:r>
      <w:r w:rsidR="00F95108">
        <w:rPr>
          <w:sz w:val="22"/>
          <w:szCs w:val="22"/>
          <w:lang w:val="uk-UA"/>
        </w:rPr>
        <w:t>сіх необхідних запобіжних заходів</w:t>
      </w:r>
      <w:r w:rsidR="00F93BEE" w:rsidRPr="007C5FA9">
        <w:rPr>
          <w:sz w:val="22"/>
          <w:szCs w:val="22"/>
          <w:lang w:val="uk-UA"/>
        </w:rPr>
        <w:t>, щоб уникнути конфлікту інтересів, т</w:t>
      </w:r>
      <w:r w:rsidR="00F95108">
        <w:rPr>
          <w:sz w:val="22"/>
          <w:szCs w:val="22"/>
          <w:lang w:val="uk-UA"/>
        </w:rPr>
        <w:t>а негайно інформують Контрольно-</w:t>
      </w:r>
      <w:r w:rsidR="00F93BEE" w:rsidRPr="007C5FA9">
        <w:rPr>
          <w:sz w:val="22"/>
          <w:szCs w:val="22"/>
          <w:lang w:val="uk-UA"/>
        </w:rPr>
        <w:t xml:space="preserve"> контактний пункт про будь-яку ситуацію, що становить або може призвести до такого конфлікту.</w:t>
      </w:r>
    </w:p>
    <w:p w:rsidR="002351DF" w:rsidRPr="007C5FA9" w:rsidRDefault="00F93BEE" w:rsidP="00F93BEE">
      <w:pPr>
        <w:keepNext/>
        <w:keepLines/>
        <w:tabs>
          <w:tab w:val="left" w:pos="567"/>
        </w:tabs>
        <w:spacing w:before="240" w:after="120"/>
        <w:ind w:left="567" w:hanging="567"/>
        <w:jc w:val="both"/>
        <w:rPr>
          <w:sz w:val="22"/>
          <w:szCs w:val="22"/>
          <w:lang w:val="uk-UA"/>
        </w:rPr>
      </w:pPr>
      <w:r w:rsidRPr="007C5FA9">
        <w:rPr>
          <w:sz w:val="22"/>
          <w:szCs w:val="22"/>
          <w:lang w:val="uk-UA"/>
        </w:rPr>
        <w:t>14.2</w:t>
      </w:r>
      <w:r w:rsidRPr="007C5FA9">
        <w:rPr>
          <w:sz w:val="22"/>
          <w:szCs w:val="22"/>
          <w:lang w:val="uk-UA"/>
        </w:rPr>
        <w:tab/>
        <w:t>Аудитор повинен дотримуватися правил неупередженості та конфіденційності, як визначено у Посібнику з перевірки витрат.</w:t>
      </w:r>
    </w:p>
    <w:p w:rsidR="00BE05DC" w:rsidRPr="007C5FA9" w:rsidRDefault="00AC3762" w:rsidP="00812509">
      <w:pPr>
        <w:keepNext/>
        <w:keepLines/>
        <w:tabs>
          <w:tab w:val="left" w:pos="567"/>
        </w:tabs>
        <w:spacing w:before="240" w:after="120"/>
        <w:jc w:val="both"/>
        <w:rPr>
          <w:b/>
          <w:lang w:val="uk-UA"/>
        </w:rPr>
      </w:pPr>
      <w:r w:rsidRPr="007C5FA9">
        <w:rPr>
          <w:b/>
          <w:sz w:val="22"/>
          <w:szCs w:val="22"/>
          <w:lang w:val="uk-UA"/>
        </w:rPr>
        <w:t xml:space="preserve">Стаття </w:t>
      </w:r>
      <w:r w:rsidR="001739C3" w:rsidRPr="007C5FA9">
        <w:rPr>
          <w:b/>
          <w:sz w:val="22"/>
          <w:szCs w:val="22"/>
          <w:lang w:val="uk-UA"/>
        </w:rPr>
        <w:t xml:space="preserve">15. </w:t>
      </w:r>
      <w:r w:rsidRPr="007C5FA9">
        <w:rPr>
          <w:b/>
          <w:sz w:val="22"/>
          <w:szCs w:val="22"/>
          <w:lang w:val="uk-UA"/>
        </w:rPr>
        <w:t>Інші додаткові положення</w:t>
      </w:r>
    </w:p>
    <w:p w:rsidR="00BE05DC" w:rsidRPr="007C5FA9" w:rsidRDefault="00BE05DC" w:rsidP="00BE05DC">
      <w:pPr>
        <w:spacing w:before="240"/>
        <w:ind w:left="1417" w:hanging="1417"/>
        <w:rPr>
          <w:sz w:val="22"/>
          <w:szCs w:val="22"/>
          <w:lang w:val="uk-UA"/>
        </w:rPr>
      </w:pPr>
      <w:r w:rsidRPr="007C5FA9">
        <w:rPr>
          <w:sz w:val="22"/>
          <w:szCs w:val="22"/>
          <w:highlight w:val="yellow"/>
          <w:lang w:val="uk-UA"/>
        </w:rPr>
        <w:t>&lt;</w:t>
      </w:r>
      <w:r w:rsidR="00AC3762" w:rsidRPr="007C5FA9">
        <w:rPr>
          <w:sz w:val="22"/>
          <w:szCs w:val="22"/>
          <w:highlight w:val="yellow"/>
          <w:lang w:val="uk-UA"/>
        </w:rPr>
        <w:t>Додайте інші відповідні пункти, наприклад договірні штрафні санкції</w:t>
      </w:r>
      <w:r w:rsidRPr="007C5FA9">
        <w:rPr>
          <w:sz w:val="22"/>
          <w:szCs w:val="22"/>
          <w:highlight w:val="yellow"/>
          <w:lang w:val="uk-UA"/>
        </w:rPr>
        <w:t>.&gt;</w:t>
      </w:r>
    </w:p>
    <w:p w:rsidR="00BE05DC" w:rsidRPr="007C5FA9" w:rsidRDefault="00BE05DC" w:rsidP="00BE05DC">
      <w:pPr>
        <w:rPr>
          <w:sz w:val="22"/>
          <w:szCs w:val="22"/>
          <w:lang w:val="uk-UA"/>
        </w:rPr>
      </w:pPr>
    </w:p>
    <w:p w:rsidR="00BE05DC" w:rsidRPr="007C5FA9" w:rsidRDefault="00F95108" w:rsidP="004F510A">
      <w:pPr>
        <w:pStyle w:val="Listanumerowana"/>
        <w:numPr>
          <w:ilvl w:val="0"/>
          <w:numId w:val="0"/>
        </w:numPr>
        <w:spacing w:after="120"/>
        <w:rPr>
          <w:rFonts w:ascii="Century Gothic" w:hAnsi="Century Gothic"/>
          <w:sz w:val="22"/>
          <w:szCs w:val="22"/>
          <w:lang w:val="uk-UA"/>
        </w:rPr>
      </w:pPr>
      <w:r>
        <w:rPr>
          <w:rFonts w:ascii="Century Gothic" w:hAnsi="Century Gothic"/>
          <w:sz w:val="22"/>
          <w:szCs w:val="22"/>
          <w:lang w:val="uk-UA"/>
        </w:rPr>
        <w:t xml:space="preserve">Вчинено </w:t>
      </w:r>
      <w:proofErr w:type="spellStart"/>
      <w:r w:rsidRPr="007C5FA9">
        <w:rPr>
          <w:rFonts w:ascii="Century Gothic" w:hAnsi="Century Gothic"/>
          <w:sz w:val="22"/>
          <w:szCs w:val="22"/>
          <w:highlight w:val="yellow"/>
          <w:lang w:val="uk-UA"/>
        </w:rPr>
        <w:t>дд</w:t>
      </w:r>
      <w:proofErr w:type="spellEnd"/>
      <w:r w:rsidRPr="007C5FA9">
        <w:rPr>
          <w:rFonts w:ascii="Century Gothic" w:hAnsi="Century Gothic"/>
          <w:sz w:val="22"/>
          <w:szCs w:val="22"/>
          <w:highlight w:val="yellow"/>
          <w:lang w:val="uk-UA"/>
        </w:rPr>
        <w:t xml:space="preserve"> місяць </w:t>
      </w:r>
      <w:proofErr w:type="spellStart"/>
      <w:r w:rsidRPr="007C5FA9">
        <w:rPr>
          <w:rFonts w:ascii="Century Gothic" w:hAnsi="Century Gothic"/>
          <w:sz w:val="22"/>
          <w:szCs w:val="22"/>
          <w:highlight w:val="yellow"/>
          <w:lang w:val="uk-UA"/>
        </w:rPr>
        <w:t>рррр</w:t>
      </w:r>
      <w:proofErr w:type="spellEnd"/>
      <w:r w:rsidRPr="007C5FA9">
        <w:rPr>
          <w:rFonts w:ascii="Century Gothic" w:hAnsi="Century Gothic"/>
          <w:sz w:val="22"/>
          <w:szCs w:val="22"/>
          <w:lang w:val="uk-UA"/>
        </w:rPr>
        <w:t>&gt;</w:t>
      </w:r>
      <w:r>
        <w:rPr>
          <w:rFonts w:ascii="Century Gothic" w:hAnsi="Century Gothic"/>
          <w:sz w:val="22"/>
          <w:szCs w:val="22"/>
          <w:lang w:val="uk-UA"/>
        </w:rPr>
        <w:t xml:space="preserve">, </w:t>
      </w:r>
      <w:r w:rsidR="00AC3762" w:rsidRPr="007C5FA9">
        <w:rPr>
          <w:rFonts w:ascii="Century Gothic" w:hAnsi="Century Gothic"/>
          <w:sz w:val="22"/>
          <w:szCs w:val="22"/>
          <w:lang w:val="uk-UA"/>
        </w:rPr>
        <w:t xml:space="preserve">англійською мовою, у </w:t>
      </w:r>
      <w:r>
        <w:rPr>
          <w:rFonts w:ascii="Century Gothic" w:hAnsi="Century Gothic"/>
          <w:sz w:val="22"/>
          <w:szCs w:val="22"/>
          <w:lang w:val="uk-UA"/>
        </w:rPr>
        <w:t>двох примірниках</w:t>
      </w:r>
    </w:p>
    <w:p w:rsidR="008A4F1D" w:rsidRPr="007C5FA9" w:rsidRDefault="008A4F1D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uk-UA"/>
        </w:rPr>
      </w:pPr>
    </w:p>
    <w:p w:rsidR="004F510A" w:rsidRPr="007C5FA9" w:rsidRDefault="004F510A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lang w:val="uk-UA"/>
        </w:rPr>
      </w:pPr>
    </w:p>
    <w:p w:rsidR="006552A9" w:rsidRPr="007C5FA9" w:rsidRDefault="00AC3762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lang w:val="uk-UA"/>
        </w:rPr>
      </w:pPr>
      <w:r w:rsidRPr="007C5FA9">
        <w:rPr>
          <w:rFonts w:ascii="Century Gothic" w:hAnsi="Century Gothic"/>
          <w:lang w:val="uk-UA"/>
        </w:rPr>
        <w:t>ДОДАТКИ</w:t>
      </w:r>
      <w:r w:rsidR="002E468F" w:rsidRPr="007C5FA9">
        <w:rPr>
          <w:rFonts w:ascii="Century Gothic" w:hAnsi="Century Gothic"/>
          <w:lang w:val="uk-UA"/>
        </w:rPr>
        <w:t xml:space="preserve"> &lt;</w:t>
      </w:r>
      <w:r w:rsidRPr="007C5FA9">
        <w:rPr>
          <w:rFonts w:ascii="Century Gothic" w:hAnsi="Century Gothic"/>
          <w:lang w:val="uk-UA"/>
        </w:rPr>
        <w:t>Додатки</w:t>
      </w:r>
      <w:r w:rsidR="002E468F" w:rsidRPr="007C5FA9">
        <w:rPr>
          <w:rFonts w:ascii="Century Gothic" w:hAnsi="Century Gothic"/>
          <w:lang w:val="uk-UA"/>
        </w:rPr>
        <w:t xml:space="preserve"> </w:t>
      </w:r>
      <w:r w:rsidR="00536DDF">
        <w:rPr>
          <w:rFonts w:ascii="Century Gothic" w:hAnsi="Century Gothic"/>
          <w:lang w:val="pl-PL"/>
        </w:rPr>
        <w:t>I - IV</w:t>
      </w:r>
      <w:r w:rsidR="002E468F" w:rsidRPr="007C5FA9">
        <w:rPr>
          <w:rFonts w:ascii="Century Gothic" w:hAnsi="Century Gothic"/>
          <w:lang w:val="uk-UA"/>
        </w:rPr>
        <w:t xml:space="preserve"> </w:t>
      </w:r>
      <w:r w:rsidRPr="007C5FA9">
        <w:rPr>
          <w:rFonts w:ascii="Century Gothic" w:hAnsi="Century Gothic"/>
          <w:lang w:val="uk-UA"/>
        </w:rPr>
        <w:t>обов’язкові</w:t>
      </w:r>
      <w:r w:rsidR="002E468F" w:rsidRPr="007C5FA9">
        <w:rPr>
          <w:rFonts w:ascii="Century Gothic" w:hAnsi="Century Gothic"/>
          <w:lang w:val="uk-UA"/>
        </w:rPr>
        <w:t>&gt;</w:t>
      </w:r>
      <w:r w:rsidR="007558FB" w:rsidRPr="007C5FA9">
        <w:rPr>
          <w:rFonts w:ascii="Century Gothic" w:hAnsi="Century Gothic"/>
          <w:lang w:val="uk-UA"/>
        </w:rPr>
        <w:t>:</w:t>
      </w:r>
    </w:p>
    <w:p w:rsidR="00F32AD4" w:rsidRPr="007C5FA9" w:rsidRDefault="00AC3762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uk-UA"/>
        </w:rPr>
      </w:pPr>
      <w:r w:rsidRPr="007C5FA9">
        <w:rPr>
          <w:rFonts w:ascii="Century Gothic" w:hAnsi="Century Gothic"/>
          <w:sz w:val="22"/>
          <w:szCs w:val="22"/>
          <w:lang w:val="uk-UA"/>
        </w:rPr>
        <w:t>Додаток</w:t>
      </w:r>
      <w:r w:rsidR="007558FB" w:rsidRPr="007C5FA9">
        <w:rPr>
          <w:rFonts w:ascii="Century Gothic" w:hAnsi="Century Gothic"/>
          <w:sz w:val="22"/>
          <w:szCs w:val="22"/>
          <w:lang w:val="uk-UA"/>
        </w:rPr>
        <w:t xml:space="preserve"> </w:t>
      </w:r>
      <w:r w:rsidR="00536DDF">
        <w:rPr>
          <w:rFonts w:ascii="Century Gothic" w:hAnsi="Century Gothic"/>
          <w:sz w:val="22"/>
          <w:szCs w:val="22"/>
          <w:lang w:val="pl-PL"/>
        </w:rPr>
        <w:t>I</w:t>
      </w:r>
      <w:r w:rsidR="00F32AD4" w:rsidRPr="007C5FA9">
        <w:rPr>
          <w:rFonts w:ascii="Century Gothic" w:hAnsi="Century Gothic"/>
          <w:sz w:val="22"/>
          <w:szCs w:val="22"/>
          <w:lang w:val="uk-UA"/>
        </w:rPr>
        <w:t xml:space="preserve"> </w:t>
      </w:r>
      <w:r w:rsidRPr="007C5FA9">
        <w:rPr>
          <w:rFonts w:ascii="Century Gothic" w:hAnsi="Century Gothic"/>
          <w:sz w:val="22"/>
          <w:szCs w:val="22"/>
          <w:lang w:val="uk-UA"/>
        </w:rPr>
        <w:t>Грантовий договір та додатки до нього</w:t>
      </w:r>
    </w:p>
    <w:p w:rsidR="00F32AD4" w:rsidRPr="007C5FA9" w:rsidRDefault="00AC3762" w:rsidP="00F32AD4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uk-UA"/>
        </w:rPr>
      </w:pPr>
      <w:r w:rsidRPr="007C5FA9">
        <w:rPr>
          <w:rFonts w:ascii="Century Gothic" w:hAnsi="Century Gothic"/>
          <w:sz w:val="22"/>
          <w:szCs w:val="22"/>
          <w:lang w:val="uk-UA"/>
        </w:rPr>
        <w:t>Додаток</w:t>
      </w:r>
      <w:r w:rsidR="00F32AD4" w:rsidRPr="007C5FA9">
        <w:rPr>
          <w:rFonts w:ascii="Century Gothic" w:hAnsi="Century Gothic"/>
          <w:sz w:val="22"/>
          <w:szCs w:val="22"/>
          <w:lang w:val="uk-UA"/>
        </w:rPr>
        <w:t xml:space="preserve"> </w:t>
      </w:r>
      <w:r w:rsidR="00536DDF">
        <w:rPr>
          <w:rFonts w:ascii="Century Gothic" w:hAnsi="Century Gothic"/>
          <w:sz w:val="22"/>
          <w:szCs w:val="22"/>
          <w:lang w:val="pl-PL"/>
        </w:rPr>
        <w:t>II</w:t>
      </w:r>
      <w:r w:rsidR="00F32AD4" w:rsidRPr="007C5FA9">
        <w:rPr>
          <w:rFonts w:ascii="Century Gothic" w:hAnsi="Century Gothic"/>
          <w:sz w:val="22"/>
          <w:szCs w:val="22"/>
          <w:lang w:val="uk-UA"/>
        </w:rPr>
        <w:t xml:space="preserve"> </w:t>
      </w:r>
      <w:r w:rsidRPr="007C5FA9">
        <w:rPr>
          <w:rFonts w:ascii="Century Gothic" w:hAnsi="Century Gothic"/>
          <w:sz w:val="22"/>
          <w:szCs w:val="22"/>
          <w:lang w:val="uk-UA"/>
        </w:rPr>
        <w:t>Програмний Посібник</w:t>
      </w:r>
    </w:p>
    <w:p w:rsidR="00F32AD4" w:rsidRPr="007C5FA9" w:rsidRDefault="00AC3762" w:rsidP="00F32AD4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uk-UA"/>
        </w:rPr>
      </w:pPr>
      <w:r w:rsidRPr="007C5FA9">
        <w:rPr>
          <w:rFonts w:ascii="Century Gothic" w:hAnsi="Century Gothic"/>
          <w:sz w:val="22"/>
          <w:szCs w:val="22"/>
          <w:lang w:val="uk-UA"/>
        </w:rPr>
        <w:lastRenderedPageBreak/>
        <w:t>Додаток</w:t>
      </w:r>
      <w:r w:rsidR="00536DDF">
        <w:rPr>
          <w:rFonts w:ascii="Century Gothic" w:hAnsi="Century Gothic"/>
          <w:sz w:val="22"/>
          <w:szCs w:val="22"/>
          <w:lang w:val="pl-PL"/>
        </w:rPr>
        <w:t xml:space="preserve"> III</w:t>
      </w:r>
      <w:r w:rsidR="008A4F1D" w:rsidRPr="007C5FA9">
        <w:rPr>
          <w:rFonts w:ascii="Century Gothic" w:hAnsi="Century Gothic"/>
          <w:sz w:val="22"/>
          <w:szCs w:val="22"/>
          <w:lang w:val="uk-UA"/>
        </w:rPr>
        <w:t xml:space="preserve"> </w:t>
      </w:r>
      <w:r w:rsidRPr="007C5FA9">
        <w:rPr>
          <w:rFonts w:ascii="Century Gothic" w:hAnsi="Century Gothic"/>
          <w:sz w:val="22"/>
          <w:szCs w:val="22"/>
          <w:lang w:val="uk-UA"/>
        </w:rPr>
        <w:t>Оновлений Посібник з перевірки витрат</w:t>
      </w:r>
      <w:r w:rsidR="00322ED6" w:rsidRPr="007C5FA9">
        <w:rPr>
          <w:rFonts w:ascii="Century Gothic" w:hAnsi="Century Gothic"/>
          <w:sz w:val="22"/>
          <w:szCs w:val="22"/>
          <w:lang w:val="uk-UA"/>
        </w:rPr>
        <w:t xml:space="preserve"> (</w:t>
      </w:r>
      <w:r w:rsidRPr="007C5FA9">
        <w:rPr>
          <w:rFonts w:ascii="Century Gothic" w:hAnsi="Century Gothic"/>
          <w:sz w:val="22"/>
          <w:szCs w:val="22"/>
          <w:lang w:val="uk-UA"/>
        </w:rPr>
        <w:t>з додатками</w:t>
      </w:r>
      <w:r w:rsidR="00322ED6" w:rsidRPr="007C5FA9">
        <w:rPr>
          <w:rFonts w:ascii="Century Gothic" w:hAnsi="Century Gothic"/>
          <w:sz w:val="22"/>
          <w:szCs w:val="22"/>
          <w:lang w:val="uk-UA"/>
        </w:rPr>
        <w:t>).</w:t>
      </w:r>
    </w:p>
    <w:p w:rsidR="00F127E7" w:rsidRPr="007C5FA9" w:rsidRDefault="00AC3762" w:rsidP="00F32AD4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uk-UA"/>
        </w:rPr>
      </w:pPr>
      <w:r w:rsidRPr="007C5FA9">
        <w:rPr>
          <w:rFonts w:ascii="Century Gothic" w:hAnsi="Century Gothic"/>
          <w:sz w:val="22"/>
          <w:szCs w:val="22"/>
          <w:lang w:val="uk-UA"/>
        </w:rPr>
        <w:t>Додаток</w:t>
      </w:r>
      <w:r w:rsidR="00322ED6" w:rsidRPr="007C5FA9">
        <w:rPr>
          <w:rFonts w:ascii="Century Gothic" w:hAnsi="Century Gothic"/>
          <w:sz w:val="22"/>
          <w:szCs w:val="22"/>
          <w:lang w:val="uk-UA"/>
        </w:rPr>
        <w:t xml:space="preserve"> </w:t>
      </w:r>
      <w:r w:rsidR="00536DDF">
        <w:rPr>
          <w:rFonts w:ascii="Century Gothic" w:hAnsi="Century Gothic"/>
          <w:sz w:val="22"/>
          <w:szCs w:val="22"/>
          <w:lang w:val="pl-PL"/>
        </w:rPr>
        <w:t>IV</w:t>
      </w:r>
      <w:r w:rsidR="00322ED6" w:rsidRPr="007C5FA9">
        <w:rPr>
          <w:rFonts w:ascii="Century Gothic" w:hAnsi="Century Gothic"/>
          <w:sz w:val="22"/>
          <w:szCs w:val="22"/>
          <w:lang w:val="uk-UA"/>
        </w:rPr>
        <w:t xml:space="preserve"> </w:t>
      </w:r>
      <w:r w:rsidRPr="007C5FA9">
        <w:rPr>
          <w:rFonts w:ascii="Century Gothic" w:hAnsi="Century Gothic"/>
          <w:sz w:val="22"/>
          <w:szCs w:val="22"/>
          <w:lang w:val="uk-UA"/>
        </w:rPr>
        <w:t>Партнерська угода</w:t>
      </w:r>
    </w:p>
    <w:p w:rsidR="00794017" w:rsidRPr="007C5FA9" w:rsidRDefault="00AC3762" w:rsidP="00794017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uk-UA"/>
        </w:rPr>
      </w:pPr>
      <w:r w:rsidRPr="007C5FA9">
        <w:rPr>
          <w:rFonts w:ascii="Century Gothic" w:hAnsi="Century Gothic"/>
          <w:sz w:val="22"/>
          <w:szCs w:val="22"/>
          <w:lang w:val="uk-UA"/>
        </w:rPr>
        <w:t>Інші (вкажіть)</w:t>
      </w:r>
      <w:r w:rsidR="00794017" w:rsidRPr="007C5FA9">
        <w:rPr>
          <w:rFonts w:ascii="Century Gothic" w:hAnsi="Century Gothic"/>
          <w:sz w:val="22"/>
          <w:szCs w:val="22"/>
          <w:lang w:val="uk-UA"/>
        </w:rPr>
        <w:t>….</w:t>
      </w:r>
    </w:p>
    <w:p w:rsidR="00F32AD4" w:rsidRPr="007C5FA9" w:rsidRDefault="00F32AD4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sz w:val="22"/>
          <w:szCs w:val="22"/>
          <w:lang w:val="uk-UA"/>
        </w:rPr>
      </w:pPr>
    </w:p>
    <w:p w:rsidR="00BE05DC" w:rsidRPr="007C5FA9" w:rsidRDefault="00BE05DC" w:rsidP="00794017">
      <w:pPr>
        <w:pStyle w:val="Listanumerowana"/>
        <w:numPr>
          <w:ilvl w:val="0"/>
          <w:numId w:val="0"/>
        </w:numPr>
        <w:spacing w:after="120"/>
        <w:rPr>
          <w:rFonts w:ascii="Century Gothic" w:hAnsi="Century Gothic"/>
          <w:lang w:val="uk-UA"/>
        </w:rPr>
      </w:pP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417"/>
        <w:gridCol w:w="3689"/>
      </w:tblGrid>
      <w:tr w:rsidR="00BE05DC" w:rsidRPr="007C5FA9" w:rsidTr="00F7200B">
        <w:tc>
          <w:tcPr>
            <w:tcW w:w="4395" w:type="dxa"/>
            <w:gridSpan w:val="2"/>
          </w:tcPr>
          <w:p w:rsidR="00BE05DC" w:rsidRPr="007C5FA9" w:rsidRDefault="00AC3762" w:rsidP="00AC3762">
            <w:pPr>
              <w:pStyle w:val="Tekstpodstawowy"/>
              <w:keepNext/>
              <w:keepLines/>
              <w:rPr>
                <w:rFonts w:ascii="Century Gothic" w:hAnsi="Century Gothic"/>
                <w:b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b/>
                <w:sz w:val="22"/>
                <w:szCs w:val="22"/>
                <w:lang w:val="uk-UA"/>
              </w:rPr>
              <w:t>За Аудитора</w:t>
            </w:r>
          </w:p>
        </w:tc>
        <w:tc>
          <w:tcPr>
            <w:tcW w:w="5106" w:type="dxa"/>
            <w:gridSpan w:val="2"/>
          </w:tcPr>
          <w:p w:rsidR="00BE05DC" w:rsidRPr="007C5FA9" w:rsidRDefault="00AC3762" w:rsidP="00F7200B">
            <w:pPr>
              <w:pStyle w:val="Tekstpodstawowy"/>
              <w:keepNext/>
              <w:keepLines/>
              <w:rPr>
                <w:rFonts w:ascii="Century Gothic" w:hAnsi="Century Gothic"/>
                <w:b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b/>
                <w:sz w:val="22"/>
                <w:szCs w:val="22"/>
                <w:lang w:val="uk-UA"/>
              </w:rPr>
              <w:t>За Бенефіціара</w:t>
            </w:r>
          </w:p>
        </w:tc>
      </w:tr>
      <w:tr w:rsidR="00AC3762" w:rsidRPr="007C5FA9" w:rsidTr="00F7200B">
        <w:trPr>
          <w:cantSplit/>
        </w:trPr>
        <w:tc>
          <w:tcPr>
            <w:tcW w:w="1418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sz w:val="22"/>
                <w:szCs w:val="22"/>
                <w:lang w:val="uk-UA"/>
              </w:rPr>
              <w:t>Ім’я та Прізвище:</w:t>
            </w:r>
          </w:p>
        </w:tc>
        <w:tc>
          <w:tcPr>
            <w:tcW w:w="2977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sz w:val="22"/>
                <w:szCs w:val="22"/>
                <w:lang w:val="uk-UA"/>
              </w:rPr>
              <w:t>Ім’я та Прізвище:</w:t>
            </w:r>
          </w:p>
        </w:tc>
        <w:tc>
          <w:tcPr>
            <w:tcW w:w="3689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</w:p>
        </w:tc>
      </w:tr>
      <w:tr w:rsidR="00AC3762" w:rsidRPr="007C5FA9" w:rsidTr="00F7200B">
        <w:trPr>
          <w:cantSplit/>
        </w:trPr>
        <w:tc>
          <w:tcPr>
            <w:tcW w:w="1418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sz w:val="22"/>
                <w:szCs w:val="22"/>
                <w:lang w:val="uk-UA"/>
              </w:rPr>
              <w:t>Посада:</w:t>
            </w:r>
          </w:p>
        </w:tc>
        <w:tc>
          <w:tcPr>
            <w:tcW w:w="2977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sz w:val="22"/>
                <w:szCs w:val="22"/>
                <w:lang w:val="uk-UA"/>
              </w:rPr>
              <w:t>Посада:</w:t>
            </w:r>
          </w:p>
        </w:tc>
        <w:tc>
          <w:tcPr>
            <w:tcW w:w="3689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</w:p>
        </w:tc>
      </w:tr>
      <w:tr w:rsidR="00AC3762" w:rsidRPr="007C5FA9" w:rsidTr="00F7200B">
        <w:trPr>
          <w:cantSplit/>
        </w:trPr>
        <w:tc>
          <w:tcPr>
            <w:tcW w:w="1418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sz w:val="22"/>
                <w:szCs w:val="22"/>
                <w:lang w:val="uk-UA"/>
              </w:rPr>
              <w:t>Підпис:</w:t>
            </w:r>
          </w:p>
        </w:tc>
        <w:tc>
          <w:tcPr>
            <w:tcW w:w="2977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sz w:val="22"/>
                <w:szCs w:val="22"/>
                <w:lang w:val="uk-UA"/>
              </w:rPr>
              <w:t>Підпис:</w:t>
            </w:r>
          </w:p>
        </w:tc>
        <w:tc>
          <w:tcPr>
            <w:tcW w:w="3689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</w:p>
        </w:tc>
      </w:tr>
      <w:tr w:rsidR="00AC3762" w:rsidRPr="007C5FA9" w:rsidTr="00F7200B">
        <w:trPr>
          <w:cantSplit/>
        </w:trPr>
        <w:tc>
          <w:tcPr>
            <w:tcW w:w="1418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sz w:val="22"/>
                <w:szCs w:val="22"/>
                <w:lang w:val="uk-UA"/>
              </w:rPr>
              <w:t>Дата:</w:t>
            </w:r>
          </w:p>
        </w:tc>
        <w:tc>
          <w:tcPr>
            <w:tcW w:w="2977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  <w:r w:rsidRPr="007C5FA9">
              <w:rPr>
                <w:rFonts w:ascii="Century Gothic" w:hAnsi="Century Gothic"/>
                <w:sz w:val="22"/>
                <w:szCs w:val="22"/>
                <w:lang w:val="uk-UA"/>
              </w:rPr>
              <w:t>Дата:</w:t>
            </w:r>
          </w:p>
        </w:tc>
        <w:tc>
          <w:tcPr>
            <w:tcW w:w="3689" w:type="dxa"/>
          </w:tcPr>
          <w:p w:rsidR="00AC3762" w:rsidRPr="007C5FA9" w:rsidRDefault="00AC3762" w:rsidP="00AC3762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  <w:lang w:val="uk-UA"/>
              </w:rPr>
            </w:pPr>
          </w:p>
        </w:tc>
      </w:tr>
      <w:bookmarkEnd w:id="1"/>
    </w:tbl>
    <w:p w:rsidR="00BE05DC" w:rsidRPr="007C5FA9" w:rsidRDefault="00BE05DC" w:rsidP="00BE05DC">
      <w:pPr>
        <w:rPr>
          <w:lang w:val="uk-UA"/>
        </w:rPr>
      </w:pPr>
    </w:p>
    <w:p w:rsidR="00BE05DC" w:rsidRPr="007C5FA9" w:rsidRDefault="00BE05DC">
      <w:pPr>
        <w:rPr>
          <w:b/>
          <w:lang w:val="uk-UA"/>
        </w:rPr>
      </w:pPr>
    </w:p>
    <w:sectPr w:rsidR="00BE05DC" w:rsidRPr="007C5FA9" w:rsidSect="00EA2A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3F" w:rsidRDefault="00177D3F" w:rsidP="00BE05DC">
      <w:r>
        <w:separator/>
      </w:r>
    </w:p>
  </w:endnote>
  <w:endnote w:type="continuationSeparator" w:id="0">
    <w:p w:rsidR="00177D3F" w:rsidRDefault="00177D3F" w:rsidP="00B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3F" w:rsidRDefault="00177D3F" w:rsidP="00BE05DC">
      <w:r>
        <w:separator/>
      </w:r>
    </w:p>
  </w:footnote>
  <w:footnote w:type="continuationSeparator" w:id="0">
    <w:p w:rsidR="00177D3F" w:rsidRDefault="00177D3F" w:rsidP="00BE05DC">
      <w:r>
        <w:continuationSeparator/>
      </w:r>
    </w:p>
  </w:footnote>
  <w:footnote w:id="1">
    <w:p w:rsidR="003E0D2A" w:rsidRPr="00F03A47" w:rsidRDefault="003E0D2A" w:rsidP="005D75E6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 w:rsidRPr="005D75E6"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 w:rsidR="00F03A47" w:rsidRPr="00F03A47">
        <w:rPr>
          <w:rStyle w:val="tlid-translation"/>
          <w:rFonts w:ascii="Century Gothic" w:hAnsi="Century Gothic"/>
          <w:sz w:val="16"/>
          <w:szCs w:val="16"/>
        </w:rPr>
        <w:t>Умови, що встановлюються д</w:t>
      </w:r>
      <w:r w:rsidR="00F03A47">
        <w:rPr>
          <w:rStyle w:val="tlid-translation"/>
          <w:rFonts w:ascii="Century Gothic" w:hAnsi="Century Gothic"/>
          <w:sz w:val="16"/>
          <w:szCs w:val="16"/>
          <w:lang w:val="uk-UA"/>
        </w:rPr>
        <w:t>о</w:t>
      </w:r>
      <w:r w:rsidR="00F03A47" w:rsidRPr="00F03A47">
        <w:rPr>
          <w:rStyle w:val="tlid-translation"/>
          <w:rFonts w:ascii="Century Gothic" w:hAnsi="Century Gothic"/>
          <w:sz w:val="16"/>
          <w:szCs w:val="16"/>
        </w:rPr>
        <w:t xml:space="preserve"> аудиторів, залежно від </w:t>
      </w:r>
      <w:r w:rsidR="00F03A47">
        <w:rPr>
          <w:rStyle w:val="tlid-translation"/>
          <w:rFonts w:ascii="Century Gothic" w:hAnsi="Century Gothic"/>
          <w:sz w:val="16"/>
          <w:szCs w:val="16"/>
          <w:lang w:val="uk-UA"/>
        </w:rPr>
        <w:t>країни-</w:t>
      </w:r>
      <w:r w:rsidR="00F03A47" w:rsidRPr="00F03A47">
        <w:rPr>
          <w:rStyle w:val="tlid-translation"/>
          <w:rFonts w:ascii="Century Gothic" w:hAnsi="Century Gothic"/>
          <w:sz w:val="16"/>
          <w:szCs w:val="16"/>
        </w:rPr>
        <w:t>походження</w:t>
      </w:r>
      <w:r w:rsidR="00F03A47">
        <w:rPr>
          <w:rStyle w:val="tlid-translation"/>
          <w:rFonts w:ascii="Century Gothic" w:hAnsi="Century Gothic"/>
          <w:sz w:val="16"/>
          <w:szCs w:val="16"/>
          <w:lang w:val="uk-UA"/>
        </w:rPr>
        <w:t xml:space="preserve"> Бенефіціара</w:t>
      </w:r>
      <w:r w:rsidR="00F03A47" w:rsidRPr="00F03A47">
        <w:rPr>
          <w:rStyle w:val="tlid-translation"/>
          <w:rFonts w:ascii="Century Gothic" w:hAnsi="Century Gothic"/>
          <w:sz w:val="16"/>
          <w:szCs w:val="16"/>
        </w:rPr>
        <w:t xml:space="preserve">, визначені в Розділі 1.3 </w:t>
      </w:r>
      <w:r w:rsidR="00F03A47">
        <w:rPr>
          <w:rStyle w:val="tlid-translation"/>
          <w:rFonts w:ascii="Century Gothic" w:hAnsi="Century Gothic"/>
          <w:sz w:val="16"/>
          <w:szCs w:val="16"/>
          <w:lang w:val="uk-UA"/>
        </w:rPr>
        <w:t xml:space="preserve">Посібника з </w:t>
      </w:r>
      <w:r w:rsidR="00F03A47" w:rsidRPr="00F03A47">
        <w:rPr>
          <w:rStyle w:val="tlid-translation"/>
          <w:rFonts w:ascii="Century Gothic" w:hAnsi="Century Gothic"/>
          <w:sz w:val="16"/>
          <w:szCs w:val="16"/>
        </w:rPr>
        <w:t>перевірки витрат, повинні бути попередньо</w:t>
      </w:r>
      <w:r w:rsidR="00F03A47">
        <w:rPr>
          <w:rStyle w:val="tlid-translation"/>
          <w:rFonts w:ascii="Century Gothic" w:hAnsi="Century Gothic"/>
          <w:sz w:val="16"/>
          <w:szCs w:val="16"/>
          <w:lang w:val="uk-UA"/>
        </w:rPr>
        <w:t xml:space="preserve"> погоджені</w:t>
      </w:r>
      <w:r w:rsidRPr="00F03A47">
        <w:rPr>
          <w:rFonts w:ascii="Century Gothic" w:hAnsi="Century Gothic"/>
          <w:sz w:val="16"/>
          <w:szCs w:val="16"/>
        </w:rPr>
        <w:t>.</w:t>
      </w:r>
    </w:p>
  </w:footnote>
  <w:footnote w:id="2">
    <w:p w:rsidR="003E0D2A" w:rsidRPr="00221420" w:rsidRDefault="003E0D2A" w:rsidP="004A7733">
      <w:pPr>
        <w:pStyle w:val="Tekstprzypisudolnego"/>
        <w:jc w:val="both"/>
        <w:rPr>
          <w:rFonts w:ascii="Century Gothic" w:hAnsi="Century Gothic"/>
          <w:sz w:val="16"/>
          <w:szCs w:val="16"/>
          <w:lang w:val="ru-RU"/>
        </w:rPr>
      </w:pPr>
      <w:r w:rsidRPr="00246063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246063">
        <w:rPr>
          <w:rFonts w:ascii="Century Gothic" w:hAnsi="Century Gothic"/>
          <w:sz w:val="16"/>
          <w:szCs w:val="16"/>
        </w:rPr>
        <w:t xml:space="preserve"> </w:t>
      </w:r>
      <w:r w:rsidR="00246063" w:rsidRPr="00246063">
        <w:rPr>
          <w:rFonts w:ascii="Century Gothic" w:hAnsi="Century Gothic"/>
          <w:sz w:val="16"/>
          <w:szCs w:val="16"/>
          <w:lang w:val="uk-UA"/>
        </w:rPr>
        <w:t>Програм</w:t>
      </w:r>
      <w:r w:rsidR="00246063">
        <w:rPr>
          <w:rFonts w:ascii="Century Gothic" w:hAnsi="Century Gothic"/>
          <w:sz w:val="16"/>
          <w:szCs w:val="16"/>
          <w:lang w:val="uk-UA"/>
        </w:rPr>
        <w:t>ний посібник зазначений</w:t>
      </w:r>
      <w:r w:rsidR="00246063" w:rsidRPr="00246063">
        <w:rPr>
          <w:rFonts w:ascii="Century Gothic" w:hAnsi="Century Gothic"/>
          <w:sz w:val="16"/>
          <w:szCs w:val="16"/>
          <w:lang w:val="uk-UA"/>
        </w:rPr>
        <w:t xml:space="preserve"> у Грантовому договорі, обов'язков</w:t>
      </w:r>
      <w:r w:rsidR="00246063">
        <w:rPr>
          <w:rFonts w:ascii="Century Gothic" w:hAnsi="Century Gothic"/>
          <w:sz w:val="16"/>
          <w:szCs w:val="16"/>
          <w:lang w:val="uk-UA"/>
        </w:rPr>
        <w:t>ий</w:t>
      </w:r>
      <w:r w:rsidR="00246063" w:rsidRPr="00246063">
        <w:rPr>
          <w:rFonts w:ascii="Century Gothic" w:hAnsi="Century Gothic"/>
          <w:sz w:val="16"/>
          <w:szCs w:val="16"/>
          <w:lang w:val="uk-UA"/>
        </w:rPr>
        <w:t xml:space="preserve"> для відповідного конкурсу</w:t>
      </w:r>
      <w:r w:rsidRPr="004A7733">
        <w:rPr>
          <w:rFonts w:ascii="Century Gothic" w:hAnsi="Century Gothic"/>
          <w:sz w:val="16"/>
          <w:szCs w:val="16"/>
        </w:rPr>
        <w:t xml:space="preserve">. </w:t>
      </w:r>
      <w:r w:rsidRPr="00221420">
        <w:rPr>
          <w:rFonts w:ascii="Century Gothic" w:hAnsi="Century Gothic"/>
          <w:sz w:val="16"/>
          <w:szCs w:val="16"/>
          <w:lang w:val="ru-RU"/>
        </w:rPr>
        <w:t xml:space="preserve"> </w:t>
      </w:r>
    </w:p>
  </w:footnote>
  <w:footnote w:id="3">
    <w:p w:rsidR="003E0D2A" w:rsidRPr="00221420" w:rsidRDefault="003E0D2A" w:rsidP="004A7733">
      <w:pPr>
        <w:autoSpaceDE w:val="0"/>
        <w:autoSpaceDN w:val="0"/>
        <w:adjustRightInd w:val="0"/>
        <w:jc w:val="both"/>
        <w:rPr>
          <w:rFonts w:eastAsia="TrebuchetMS" w:cs="TrebuchetMS"/>
          <w:color w:val="262626"/>
          <w:sz w:val="16"/>
          <w:szCs w:val="16"/>
          <w:lang w:val="ru-RU"/>
        </w:rPr>
      </w:pPr>
      <w:r w:rsidRPr="004A7733">
        <w:rPr>
          <w:rStyle w:val="Odwoanieprzypisudolnego"/>
          <w:sz w:val="16"/>
          <w:szCs w:val="16"/>
        </w:rPr>
        <w:footnoteRef/>
      </w:r>
      <w:r w:rsidR="00F50AAC" w:rsidRPr="00221420">
        <w:rPr>
          <w:sz w:val="16"/>
          <w:szCs w:val="16"/>
          <w:lang w:val="ru-RU"/>
        </w:rPr>
        <w:t xml:space="preserve"> </w:t>
      </w:r>
      <w:r w:rsidR="00137117" w:rsidRPr="00137117">
        <w:rPr>
          <w:rFonts w:eastAsia="TrebuchetMS" w:cs="TrebuchetMS"/>
          <w:color w:val="262626"/>
          <w:sz w:val="16"/>
          <w:szCs w:val="16"/>
          <w:lang w:val="uk-UA"/>
        </w:rPr>
        <w:t>Сертифікація відповідності документів, що зберігаються на загальноприйнятих носіях інформації</w:t>
      </w:r>
      <w:r w:rsidR="00F50AAC">
        <w:rPr>
          <w:rFonts w:eastAsia="TrebuchetMS" w:cs="TrebuchetMS"/>
          <w:color w:val="262626"/>
          <w:sz w:val="16"/>
          <w:szCs w:val="16"/>
          <w:lang w:val="uk-UA"/>
        </w:rPr>
        <w:t>,</w:t>
      </w:r>
      <w:r w:rsidR="00137117" w:rsidRPr="00137117">
        <w:rPr>
          <w:rFonts w:eastAsia="TrebuchetMS" w:cs="TrebuchetMS"/>
          <w:color w:val="262626"/>
          <w:sz w:val="16"/>
          <w:szCs w:val="16"/>
          <w:lang w:val="uk-UA"/>
        </w:rPr>
        <w:t xml:space="preserve"> з оригінальними документами, повинна виконуватися відповідно до національних правил з </w:t>
      </w:r>
      <w:r w:rsidR="00F50AAC">
        <w:rPr>
          <w:rFonts w:eastAsia="TrebuchetMS" w:cs="TrebuchetMS"/>
          <w:color w:val="262626"/>
          <w:sz w:val="16"/>
          <w:szCs w:val="16"/>
          <w:lang w:val="uk-UA"/>
        </w:rPr>
        <w:t>даног</w:t>
      </w:r>
      <w:r w:rsidR="00137117" w:rsidRPr="00137117">
        <w:rPr>
          <w:rFonts w:eastAsia="TrebuchetMS" w:cs="TrebuchetMS"/>
          <w:color w:val="262626"/>
          <w:sz w:val="16"/>
          <w:szCs w:val="16"/>
          <w:lang w:val="uk-UA"/>
        </w:rPr>
        <w:t>о питання</w:t>
      </w:r>
      <w:r w:rsidRPr="00221420">
        <w:rPr>
          <w:rFonts w:eastAsia="TrebuchetMS" w:cs="TrebuchetMS"/>
          <w:color w:val="262626"/>
          <w:sz w:val="16"/>
          <w:szCs w:val="16"/>
          <w:lang w:val="ru-RU"/>
        </w:rPr>
        <w:t>.</w:t>
      </w:r>
    </w:p>
  </w:footnote>
  <w:footnote w:id="4">
    <w:p w:rsidR="003E0D2A" w:rsidRPr="00221420" w:rsidRDefault="003E0D2A" w:rsidP="00985B82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221420">
        <w:rPr>
          <w:lang w:val="ru-RU"/>
        </w:rPr>
        <w:t xml:space="preserve"> </w:t>
      </w:r>
      <w:r w:rsidR="00491B3E" w:rsidRPr="00221420">
        <w:rPr>
          <w:lang w:val="ru-RU"/>
        </w:rPr>
        <w:t>Тільки у випадку, якщо країна створила довгий чи короткий список аудиторів</w:t>
      </w:r>
      <w:r w:rsidRPr="00221420">
        <w:rPr>
          <w:lang w:val="ru-RU"/>
        </w:rPr>
        <w:t>.</w:t>
      </w:r>
    </w:p>
  </w:footnote>
  <w:footnote w:id="5">
    <w:p w:rsidR="00C62243" w:rsidRPr="00C62243" w:rsidRDefault="00C622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221420">
        <w:rPr>
          <w:lang w:val="ru-RU"/>
        </w:rPr>
        <w:t>Тільки</w:t>
      </w:r>
      <w:proofErr w:type="spellEnd"/>
      <w:r w:rsidRPr="00221420">
        <w:rPr>
          <w:lang w:val="ru-RU"/>
        </w:rPr>
        <w:t xml:space="preserve"> у </w:t>
      </w:r>
      <w:proofErr w:type="spellStart"/>
      <w:r w:rsidRPr="00221420">
        <w:rPr>
          <w:lang w:val="ru-RU"/>
        </w:rPr>
        <w:t>випадку</w:t>
      </w:r>
      <w:proofErr w:type="spellEnd"/>
      <w:r w:rsidRPr="00221420">
        <w:rPr>
          <w:lang w:val="ru-RU"/>
        </w:rPr>
        <w:t xml:space="preserve">, </w:t>
      </w:r>
      <w:proofErr w:type="spellStart"/>
      <w:r w:rsidRPr="00221420">
        <w:rPr>
          <w:lang w:val="ru-RU"/>
        </w:rPr>
        <w:t>якщо</w:t>
      </w:r>
      <w:proofErr w:type="spellEnd"/>
      <w:r w:rsidRPr="00221420">
        <w:rPr>
          <w:lang w:val="ru-RU"/>
        </w:rPr>
        <w:t xml:space="preserve"> </w:t>
      </w:r>
      <w:proofErr w:type="spellStart"/>
      <w:r w:rsidRPr="00221420">
        <w:rPr>
          <w:lang w:val="ru-RU"/>
        </w:rPr>
        <w:t>країна</w:t>
      </w:r>
      <w:proofErr w:type="spellEnd"/>
      <w:r w:rsidRPr="00221420">
        <w:rPr>
          <w:lang w:val="ru-RU"/>
        </w:rPr>
        <w:t xml:space="preserve"> створила </w:t>
      </w:r>
      <w:proofErr w:type="spellStart"/>
      <w:r w:rsidRPr="00221420">
        <w:rPr>
          <w:lang w:val="ru-RU"/>
        </w:rPr>
        <w:t>довгий</w:t>
      </w:r>
      <w:proofErr w:type="spellEnd"/>
      <w:r w:rsidRPr="00221420">
        <w:rPr>
          <w:lang w:val="ru-RU"/>
        </w:rPr>
        <w:t xml:space="preserve"> </w:t>
      </w:r>
      <w:proofErr w:type="spellStart"/>
      <w:r w:rsidRPr="00221420">
        <w:rPr>
          <w:lang w:val="ru-RU"/>
        </w:rPr>
        <w:t>чи</w:t>
      </w:r>
      <w:proofErr w:type="spellEnd"/>
      <w:r w:rsidRPr="00221420">
        <w:rPr>
          <w:lang w:val="ru-RU"/>
        </w:rPr>
        <w:t xml:space="preserve"> короткий список </w:t>
      </w:r>
      <w:proofErr w:type="spellStart"/>
      <w:r w:rsidRPr="00221420">
        <w:rPr>
          <w:lang w:val="ru-RU"/>
        </w:rPr>
        <w:t>аудиторів</w:t>
      </w:r>
      <w:proofErr w:type="spellEnd"/>
      <w:r w:rsidRPr="00221420">
        <w:rPr>
          <w:lang w:val="ru-RU"/>
        </w:rPr>
        <w:t>.</w:t>
      </w:r>
    </w:p>
  </w:footnote>
  <w:footnote w:id="6">
    <w:p w:rsidR="003E0D2A" w:rsidRPr="0072365C" w:rsidRDefault="003E0D2A" w:rsidP="005300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AC3762" w:rsidRPr="00AC3762">
        <w:t>Відповідно</w:t>
      </w:r>
      <w:proofErr w:type="spellEnd"/>
      <w:r w:rsidR="00AC3762" w:rsidRPr="00AC3762">
        <w:t xml:space="preserve"> </w:t>
      </w:r>
      <w:proofErr w:type="spellStart"/>
      <w:r w:rsidR="00AC3762" w:rsidRPr="00AC3762">
        <w:t>до</w:t>
      </w:r>
      <w:proofErr w:type="spellEnd"/>
      <w:r w:rsidR="00AC3762" w:rsidRPr="00AC3762">
        <w:t xml:space="preserve"> </w:t>
      </w:r>
      <w:proofErr w:type="spellStart"/>
      <w:r w:rsidR="00AC3762" w:rsidRPr="00AC3762">
        <w:t>Регламенту</w:t>
      </w:r>
      <w:proofErr w:type="spellEnd"/>
      <w:r w:rsidR="00AC3762" w:rsidRPr="00AC3762">
        <w:t xml:space="preserve"> (ЄС) 2016/679 </w:t>
      </w:r>
      <w:proofErr w:type="spellStart"/>
      <w:r w:rsidR="00AC3762" w:rsidRPr="00AC3762">
        <w:t>Європейського</w:t>
      </w:r>
      <w:proofErr w:type="spellEnd"/>
      <w:r w:rsidR="00AC3762" w:rsidRPr="00AC3762">
        <w:t xml:space="preserve"> </w:t>
      </w:r>
      <w:proofErr w:type="spellStart"/>
      <w:r w:rsidR="00AC3762" w:rsidRPr="00AC3762">
        <w:t>Парламенту</w:t>
      </w:r>
      <w:proofErr w:type="spellEnd"/>
      <w:r w:rsidR="00AC3762" w:rsidRPr="00AC3762">
        <w:t xml:space="preserve"> та </w:t>
      </w:r>
      <w:proofErr w:type="spellStart"/>
      <w:r w:rsidR="00AC3762" w:rsidRPr="00AC3762">
        <w:t>Ради</w:t>
      </w:r>
      <w:proofErr w:type="spellEnd"/>
      <w:r w:rsidR="00AC3762" w:rsidRPr="00AC3762">
        <w:t xml:space="preserve">, </w:t>
      </w:r>
      <w:proofErr w:type="spellStart"/>
      <w:r w:rsidR="00AC3762" w:rsidRPr="00AC3762">
        <w:t>далі</w:t>
      </w:r>
      <w:proofErr w:type="spellEnd"/>
      <w:r w:rsidR="00AC3762" w:rsidRPr="00AC3762">
        <w:t xml:space="preserve"> </w:t>
      </w:r>
      <w:proofErr w:type="spellStart"/>
      <w:r w:rsidR="00AC3762" w:rsidRPr="00AC3762">
        <w:t>називається</w:t>
      </w:r>
      <w:proofErr w:type="spellEnd"/>
      <w:r w:rsidR="00AC3762" w:rsidRPr="00AC3762">
        <w:t xml:space="preserve"> </w:t>
      </w:r>
      <w:r w:rsidR="00AC3762">
        <w:rPr>
          <w:rStyle w:val="shorttext"/>
        </w:rPr>
        <w:t>GDPR</w:t>
      </w:r>
      <w:r w:rsidR="00AC3762" w:rsidRPr="00AC3762">
        <w:t xml:space="preserve"> </w:t>
      </w:r>
      <w:proofErr w:type="spellStart"/>
      <w:r w:rsidR="00AC3762" w:rsidRPr="00AC3762">
        <w:t>або</w:t>
      </w:r>
      <w:proofErr w:type="spellEnd"/>
      <w:r w:rsidR="00AC3762" w:rsidRPr="00AC3762">
        <w:t xml:space="preserve"> </w:t>
      </w:r>
      <w:proofErr w:type="spellStart"/>
      <w:r w:rsidR="00AC3762" w:rsidRPr="00AC3762">
        <w:t>національні</w:t>
      </w:r>
      <w:proofErr w:type="spellEnd"/>
      <w:r w:rsidR="00AC3762" w:rsidRPr="00AC3762">
        <w:t xml:space="preserve"> </w:t>
      </w:r>
      <w:proofErr w:type="spellStart"/>
      <w:r w:rsidR="00AC3762" w:rsidRPr="00AC3762">
        <w:t>правила</w:t>
      </w:r>
      <w:proofErr w:type="spellEnd"/>
      <w:r w:rsidR="00AC3762" w:rsidRPr="00AC3762">
        <w:t xml:space="preserve"> у </w:t>
      </w:r>
      <w:proofErr w:type="spellStart"/>
      <w:r w:rsidR="00AC3762">
        <w:rPr>
          <w:lang w:val="uk-UA"/>
        </w:rPr>
        <w:t>дан</w:t>
      </w:r>
      <w:r w:rsidR="00890F06">
        <w:t>ій</w:t>
      </w:r>
      <w:proofErr w:type="spellEnd"/>
      <w:r w:rsidR="00890F06">
        <w:t xml:space="preserve"> </w:t>
      </w:r>
      <w:proofErr w:type="spellStart"/>
      <w:r w:rsidR="00890F06">
        <w:t>країні</w:t>
      </w:r>
      <w:proofErr w:type="spellEnd"/>
      <w:r>
        <w:rPr>
          <w:rFonts w:cs="Arial"/>
          <w:spacing w:val="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11E"/>
    <w:multiLevelType w:val="hybridMultilevel"/>
    <w:tmpl w:val="7E52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376C1"/>
    <w:multiLevelType w:val="hybridMultilevel"/>
    <w:tmpl w:val="59EACB08"/>
    <w:lvl w:ilvl="0" w:tplc="9DC29BE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F0DFC"/>
    <w:multiLevelType w:val="multilevel"/>
    <w:tmpl w:val="71B220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DA33EA"/>
    <w:multiLevelType w:val="hybridMultilevel"/>
    <w:tmpl w:val="89BA0BF2"/>
    <w:lvl w:ilvl="0" w:tplc="F4CE1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7E323E"/>
    <w:multiLevelType w:val="multilevel"/>
    <w:tmpl w:val="66F40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5725013"/>
    <w:multiLevelType w:val="hybridMultilevel"/>
    <w:tmpl w:val="A2A6348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730AA8"/>
    <w:multiLevelType w:val="hybridMultilevel"/>
    <w:tmpl w:val="1800F71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8595B"/>
    <w:multiLevelType w:val="hybridMultilevel"/>
    <w:tmpl w:val="C35426FA"/>
    <w:lvl w:ilvl="0" w:tplc="0408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A1621"/>
    <w:multiLevelType w:val="hybridMultilevel"/>
    <w:tmpl w:val="A2A6348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15213F"/>
    <w:multiLevelType w:val="hybridMultilevel"/>
    <w:tmpl w:val="29AE5ED2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EAA4B2A"/>
    <w:multiLevelType w:val="hybridMultilevel"/>
    <w:tmpl w:val="62B42B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1255DF"/>
    <w:multiLevelType w:val="hybridMultilevel"/>
    <w:tmpl w:val="A4303EDA"/>
    <w:lvl w:ilvl="0" w:tplc="74F4154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C5CFC"/>
    <w:multiLevelType w:val="multilevel"/>
    <w:tmpl w:val="E5CC7EE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DC"/>
    <w:rsid w:val="000075EA"/>
    <w:rsid w:val="000214A3"/>
    <w:rsid w:val="00035444"/>
    <w:rsid w:val="0003796B"/>
    <w:rsid w:val="00040ED9"/>
    <w:rsid w:val="00057536"/>
    <w:rsid w:val="00064B59"/>
    <w:rsid w:val="00073AA8"/>
    <w:rsid w:val="0008462C"/>
    <w:rsid w:val="00085A19"/>
    <w:rsid w:val="000904E1"/>
    <w:rsid w:val="000A5E0F"/>
    <w:rsid w:val="000B14B3"/>
    <w:rsid w:val="000B165C"/>
    <w:rsid w:val="000B5D30"/>
    <w:rsid w:val="000C1CBA"/>
    <w:rsid w:val="000C2303"/>
    <w:rsid w:val="000C2E30"/>
    <w:rsid w:val="000E44DC"/>
    <w:rsid w:val="000F1140"/>
    <w:rsid w:val="000F48E3"/>
    <w:rsid w:val="000F4FF3"/>
    <w:rsid w:val="00102179"/>
    <w:rsid w:val="0010538E"/>
    <w:rsid w:val="00110D42"/>
    <w:rsid w:val="0011364B"/>
    <w:rsid w:val="00137117"/>
    <w:rsid w:val="001446F6"/>
    <w:rsid w:val="00145CF2"/>
    <w:rsid w:val="00146E25"/>
    <w:rsid w:val="001665CC"/>
    <w:rsid w:val="00170BE1"/>
    <w:rsid w:val="001739C3"/>
    <w:rsid w:val="00175662"/>
    <w:rsid w:val="00177D3F"/>
    <w:rsid w:val="00180187"/>
    <w:rsid w:val="00182BC2"/>
    <w:rsid w:val="00190872"/>
    <w:rsid w:val="00190B16"/>
    <w:rsid w:val="001A1AA1"/>
    <w:rsid w:val="001A71FB"/>
    <w:rsid w:val="001A7209"/>
    <w:rsid w:val="001B4251"/>
    <w:rsid w:val="001B7FD8"/>
    <w:rsid w:val="001C22C4"/>
    <w:rsid w:val="001C5BAE"/>
    <w:rsid w:val="001E33A4"/>
    <w:rsid w:val="001E5DF8"/>
    <w:rsid w:val="001E657E"/>
    <w:rsid w:val="001F2260"/>
    <w:rsid w:val="002101FE"/>
    <w:rsid w:val="0021263C"/>
    <w:rsid w:val="00221420"/>
    <w:rsid w:val="002351DF"/>
    <w:rsid w:val="00236F3C"/>
    <w:rsid w:val="00243EE4"/>
    <w:rsid w:val="00246063"/>
    <w:rsid w:val="00253F06"/>
    <w:rsid w:val="00255103"/>
    <w:rsid w:val="002554C9"/>
    <w:rsid w:val="00261285"/>
    <w:rsid w:val="002736F7"/>
    <w:rsid w:val="0027565B"/>
    <w:rsid w:val="00284886"/>
    <w:rsid w:val="0028677B"/>
    <w:rsid w:val="002871E0"/>
    <w:rsid w:val="00290516"/>
    <w:rsid w:val="00290852"/>
    <w:rsid w:val="002919E1"/>
    <w:rsid w:val="00292507"/>
    <w:rsid w:val="002A487F"/>
    <w:rsid w:val="002D2F5B"/>
    <w:rsid w:val="002E1B5B"/>
    <w:rsid w:val="002E2F40"/>
    <w:rsid w:val="002E468F"/>
    <w:rsid w:val="002E55F9"/>
    <w:rsid w:val="002E5BD4"/>
    <w:rsid w:val="002E6BB4"/>
    <w:rsid w:val="002F493A"/>
    <w:rsid w:val="003116F5"/>
    <w:rsid w:val="00311ADC"/>
    <w:rsid w:val="003166DC"/>
    <w:rsid w:val="00316DFE"/>
    <w:rsid w:val="003175E0"/>
    <w:rsid w:val="00322ED6"/>
    <w:rsid w:val="003230C5"/>
    <w:rsid w:val="003269D1"/>
    <w:rsid w:val="00332266"/>
    <w:rsid w:val="00334104"/>
    <w:rsid w:val="00335FBA"/>
    <w:rsid w:val="0033714B"/>
    <w:rsid w:val="003516D7"/>
    <w:rsid w:val="0035774F"/>
    <w:rsid w:val="00357C36"/>
    <w:rsid w:val="003621CA"/>
    <w:rsid w:val="0037157D"/>
    <w:rsid w:val="00394DEE"/>
    <w:rsid w:val="00396440"/>
    <w:rsid w:val="003A012F"/>
    <w:rsid w:val="003A42C9"/>
    <w:rsid w:val="003A757E"/>
    <w:rsid w:val="003B7C00"/>
    <w:rsid w:val="003C3290"/>
    <w:rsid w:val="003C74A9"/>
    <w:rsid w:val="003E0D2A"/>
    <w:rsid w:val="003E3681"/>
    <w:rsid w:val="00400AA5"/>
    <w:rsid w:val="00424AC6"/>
    <w:rsid w:val="00433503"/>
    <w:rsid w:val="0047337F"/>
    <w:rsid w:val="00473F46"/>
    <w:rsid w:val="00487CDC"/>
    <w:rsid w:val="00490281"/>
    <w:rsid w:val="00491B3E"/>
    <w:rsid w:val="004A7733"/>
    <w:rsid w:val="004B2F78"/>
    <w:rsid w:val="004B4C89"/>
    <w:rsid w:val="004C1216"/>
    <w:rsid w:val="004D5209"/>
    <w:rsid w:val="004D7F87"/>
    <w:rsid w:val="004E1FD0"/>
    <w:rsid w:val="004E46CB"/>
    <w:rsid w:val="004F18E3"/>
    <w:rsid w:val="004F19FC"/>
    <w:rsid w:val="004F510A"/>
    <w:rsid w:val="004F5FD9"/>
    <w:rsid w:val="005035C2"/>
    <w:rsid w:val="00517BBB"/>
    <w:rsid w:val="005208DE"/>
    <w:rsid w:val="005215E0"/>
    <w:rsid w:val="0053008A"/>
    <w:rsid w:val="00536DDF"/>
    <w:rsid w:val="00556550"/>
    <w:rsid w:val="00560952"/>
    <w:rsid w:val="00561E33"/>
    <w:rsid w:val="00562025"/>
    <w:rsid w:val="00570345"/>
    <w:rsid w:val="00572756"/>
    <w:rsid w:val="00573626"/>
    <w:rsid w:val="00574AED"/>
    <w:rsid w:val="005752B6"/>
    <w:rsid w:val="00592647"/>
    <w:rsid w:val="005A52AA"/>
    <w:rsid w:val="005B187C"/>
    <w:rsid w:val="005B39DB"/>
    <w:rsid w:val="005B3A85"/>
    <w:rsid w:val="005B43E7"/>
    <w:rsid w:val="005C0246"/>
    <w:rsid w:val="005C05E3"/>
    <w:rsid w:val="005D6116"/>
    <w:rsid w:val="005D6595"/>
    <w:rsid w:val="005D75E6"/>
    <w:rsid w:val="005E4379"/>
    <w:rsid w:val="005F2EFE"/>
    <w:rsid w:val="005F4E33"/>
    <w:rsid w:val="00603B9E"/>
    <w:rsid w:val="00605371"/>
    <w:rsid w:val="006107CF"/>
    <w:rsid w:val="0061203E"/>
    <w:rsid w:val="00625745"/>
    <w:rsid w:val="00636E7F"/>
    <w:rsid w:val="006411D2"/>
    <w:rsid w:val="00644657"/>
    <w:rsid w:val="00654847"/>
    <w:rsid w:val="006552A9"/>
    <w:rsid w:val="006677FD"/>
    <w:rsid w:val="00671ABE"/>
    <w:rsid w:val="00677146"/>
    <w:rsid w:val="006869AF"/>
    <w:rsid w:val="006A0FB1"/>
    <w:rsid w:val="006B2398"/>
    <w:rsid w:val="006B59B0"/>
    <w:rsid w:val="006C3DBE"/>
    <w:rsid w:val="006C65F5"/>
    <w:rsid w:val="006D43B2"/>
    <w:rsid w:val="006D44DF"/>
    <w:rsid w:val="006D49EB"/>
    <w:rsid w:val="006E201F"/>
    <w:rsid w:val="006E5454"/>
    <w:rsid w:val="006F5933"/>
    <w:rsid w:val="00704073"/>
    <w:rsid w:val="00717FC4"/>
    <w:rsid w:val="00732B16"/>
    <w:rsid w:val="00733572"/>
    <w:rsid w:val="00752A97"/>
    <w:rsid w:val="007558FB"/>
    <w:rsid w:val="0076030B"/>
    <w:rsid w:val="007612B6"/>
    <w:rsid w:val="0077272B"/>
    <w:rsid w:val="0077758A"/>
    <w:rsid w:val="0078076C"/>
    <w:rsid w:val="00794017"/>
    <w:rsid w:val="00795E6A"/>
    <w:rsid w:val="007976BB"/>
    <w:rsid w:val="007C5FA9"/>
    <w:rsid w:val="007D172F"/>
    <w:rsid w:val="007F429B"/>
    <w:rsid w:val="007F7A3C"/>
    <w:rsid w:val="00801AA1"/>
    <w:rsid w:val="0080558D"/>
    <w:rsid w:val="0080687E"/>
    <w:rsid w:val="00812509"/>
    <w:rsid w:val="00821821"/>
    <w:rsid w:val="00836CE2"/>
    <w:rsid w:val="008436A6"/>
    <w:rsid w:val="008500DF"/>
    <w:rsid w:val="0085108A"/>
    <w:rsid w:val="00876866"/>
    <w:rsid w:val="00877481"/>
    <w:rsid w:val="00877814"/>
    <w:rsid w:val="00880AF4"/>
    <w:rsid w:val="00890F06"/>
    <w:rsid w:val="008A321D"/>
    <w:rsid w:val="008A4F1D"/>
    <w:rsid w:val="008A6C32"/>
    <w:rsid w:val="008B13D0"/>
    <w:rsid w:val="008C071D"/>
    <w:rsid w:val="008C3BDC"/>
    <w:rsid w:val="008C7470"/>
    <w:rsid w:val="008D3071"/>
    <w:rsid w:val="008D5A78"/>
    <w:rsid w:val="008E09D9"/>
    <w:rsid w:val="008E4EF3"/>
    <w:rsid w:val="008F6CCA"/>
    <w:rsid w:val="00911325"/>
    <w:rsid w:val="0091688E"/>
    <w:rsid w:val="009215CC"/>
    <w:rsid w:val="00921A7D"/>
    <w:rsid w:val="009400AE"/>
    <w:rsid w:val="009438C2"/>
    <w:rsid w:val="0094699C"/>
    <w:rsid w:val="0096061C"/>
    <w:rsid w:val="00964C0E"/>
    <w:rsid w:val="009669CA"/>
    <w:rsid w:val="00967EB5"/>
    <w:rsid w:val="009736FF"/>
    <w:rsid w:val="00981A38"/>
    <w:rsid w:val="00985B82"/>
    <w:rsid w:val="00990EBD"/>
    <w:rsid w:val="00993CCD"/>
    <w:rsid w:val="009970AF"/>
    <w:rsid w:val="00997A3B"/>
    <w:rsid w:val="009A4682"/>
    <w:rsid w:val="009A55F1"/>
    <w:rsid w:val="009C19EF"/>
    <w:rsid w:val="009C3CD0"/>
    <w:rsid w:val="009D70FE"/>
    <w:rsid w:val="009E1613"/>
    <w:rsid w:val="009E7FFD"/>
    <w:rsid w:val="00A0797B"/>
    <w:rsid w:val="00A11D71"/>
    <w:rsid w:val="00A171BF"/>
    <w:rsid w:val="00A25665"/>
    <w:rsid w:val="00A31E9E"/>
    <w:rsid w:val="00A36A74"/>
    <w:rsid w:val="00A37A50"/>
    <w:rsid w:val="00A37F82"/>
    <w:rsid w:val="00A416CB"/>
    <w:rsid w:val="00A46CF3"/>
    <w:rsid w:val="00A63168"/>
    <w:rsid w:val="00A63F54"/>
    <w:rsid w:val="00A655C0"/>
    <w:rsid w:val="00A772E6"/>
    <w:rsid w:val="00A83288"/>
    <w:rsid w:val="00A8562D"/>
    <w:rsid w:val="00AA187E"/>
    <w:rsid w:val="00AC3762"/>
    <w:rsid w:val="00AD66F2"/>
    <w:rsid w:val="00AD7EA5"/>
    <w:rsid w:val="00AE0787"/>
    <w:rsid w:val="00AE690C"/>
    <w:rsid w:val="00AF3A60"/>
    <w:rsid w:val="00AF630A"/>
    <w:rsid w:val="00B05D21"/>
    <w:rsid w:val="00B10454"/>
    <w:rsid w:val="00B119C5"/>
    <w:rsid w:val="00B365A0"/>
    <w:rsid w:val="00B419A3"/>
    <w:rsid w:val="00B57514"/>
    <w:rsid w:val="00B600E1"/>
    <w:rsid w:val="00B609A1"/>
    <w:rsid w:val="00B6282C"/>
    <w:rsid w:val="00B766A0"/>
    <w:rsid w:val="00B81404"/>
    <w:rsid w:val="00B82AEF"/>
    <w:rsid w:val="00BA2BDB"/>
    <w:rsid w:val="00BA3E02"/>
    <w:rsid w:val="00BA4E5D"/>
    <w:rsid w:val="00BB4A41"/>
    <w:rsid w:val="00BE05DC"/>
    <w:rsid w:val="00BE1F02"/>
    <w:rsid w:val="00BE4FD2"/>
    <w:rsid w:val="00BF36B9"/>
    <w:rsid w:val="00BF787C"/>
    <w:rsid w:val="00C017CA"/>
    <w:rsid w:val="00C0666F"/>
    <w:rsid w:val="00C067B9"/>
    <w:rsid w:val="00C117E9"/>
    <w:rsid w:val="00C1387D"/>
    <w:rsid w:val="00C176BE"/>
    <w:rsid w:val="00C22791"/>
    <w:rsid w:val="00C26543"/>
    <w:rsid w:val="00C26719"/>
    <w:rsid w:val="00C3598A"/>
    <w:rsid w:val="00C4275B"/>
    <w:rsid w:val="00C452CA"/>
    <w:rsid w:val="00C5292B"/>
    <w:rsid w:val="00C62243"/>
    <w:rsid w:val="00C62959"/>
    <w:rsid w:val="00C70C73"/>
    <w:rsid w:val="00C735E5"/>
    <w:rsid w:val="00C77A66"/>
    <w:rsid w:val="00C82D21"/>
    <w:rsid w:val="00C85533"/>
    <w:rsid w:val="00C9705E"/>
    <w:rsid w:val="00CA2ACF"/>
    <w:rsid w:val="00CA49E5"/>
    <w:rsid w:val="00CA762A"/>
    <w:rsid w:val="00CB3213"/>
    <w:rsid w:val="00CC032D"/>
    <w:rsid w:val="00CC2954"/>
    <w:rsid w:val="00CD1049"/>
    <w:rsid w:val="00CD1F4A"/>
    <w:rsid w:val="00CF0E92"/>
    <w:rsid w:val="00CF2EA3"/>
    <w:rsid w:val="00CF7207"/>
    <w:rsid w:val="00D01EA1"/>
    <w:rsid w:val="00D06E52"/>
    <w:rsid w:val="00D1300E"/>
    <w:rsid w:val="00D17B7C"/>
    <w:rsid w:val="00D20836"/>
    <w:rsid w:val="00D21AE6"/>
    <w:rsid w:val="00D27B97"/>
    <w:rsid w:val="00D46479"/>
    <w:rsid w:val="00D56519"/>
    <w:rsid w:val="00D645C4"/>
    <w:rsid w:val="00D7170B"/>
    <w:rsid w:val="00D80504"/>
    <w:rsid w:val="00D84E63"/>
    <w:rsid w:val="00D873DE"/>
    <w:rsid w:val="00DA018D"/>
    <w:rsid w:val="00DC0853"/>
    <w:rsid w:val="00DD750D"/>
    <w:rsid w:val="00DF47C5"/>
    <w:rsid w:val="00E00BF6"/>
    <w:rsid w:val="00E101E8"/>
    <w:rsid w:val="00E12D28"/>
    <w:rsid w:val="00E21B61"/>
    <w:rsid w:val="00E21BD9"/>
    <w:rsid w:val="00E334F0"/>
    <w:rsid w:val="00E37DA6"/>
    <w:rsid w:val="00E42BBB"/>
    <w:rsid w:val="00E53286"/>
    <w:rsid w:val="00E57566"/>
    <w:rsid w:val="00E83368"/>
    <w:rsid w:val="00E845A3"/>
    <w:rsid w:val="00E84EEE"/>
    <w:rsid w:val="00E92652"/>
    <w:rsid w:val="00EA2368"/>
    <w:rsid w:val="00EA2AD7"/>
    <w:rsid w:val="00EA2C47"/>
    <w:rsid w:val="00EA42E9"/>
    <w:rsid w:val="00EA55F3"/>
    <w:rsid w:val="00EB3DB8"/>
    <w:rsid w:val="00EC5657"/>
    <w:rsid w:val="00ED359B"/>
    <w:rsid w:val="00EE011B"/>
    <w:rsid w:val="00EE6E25"/>
    <w:rsid w:val="00EE7D21"/>
    <w:rsid w:val="00F03292"/>
    <w:rsid w:val="00F03A47"/>
    <w:rsid w:val="00F126BB"/>
    <w:rsid w:val="00F127E7"/>
    <w:rsid w:val="00F12C0F"/>
    <w:rsid w:val="00F228EF"/>
    <w:rsid w:val="00F22E2B"/>
    <w:rsid w:val="00F23DD7"/>
    <w:rsid w:val="00F32AD4"/>
    <w:rsid w:val="00F349DF"/>
    <w:rsid w:val="00F4284F"/>
    <w:rsid w:val="00F44A07"/>
    <w:rsid w:val="00F47075"/>
    <w:rsid w:val="00F479CC"/>
    <w:rsid w:val="00F50AAC"/>
    <w:rsid w:val="00F56CB3"/>
    <w:rsid w:val="00F61229"/>
    <w:rsid w:val="00F62686"/>
    <w:rsid w:val="00F71ACC"/>
    <w:rsid w:val="00F7200B"/>
    <w:rsid w:val="00F80F81"/>
    <w:rsid w:val="00F828F6"/>
    <w:rsid w:val="00F903EF"/>
    <w:rsid w:val="00F90CCB"/>
    <w:rsid w:val="00F93BEE"/>
    <w:rsid w:val="00F95108"/>
    <w:rsid w:val="00FB0C49"/>
    <w:rsid w:val="00FB1A93"/>
    <w:rsid w:val="00FB510C"/>
    <w:rsid w:val="00FC10CA"/>
    <w:rsid w:val="00FC1240"/>
    <w:rsid w:val="00FD1C06"/>
    <w:rsid w:val="00FD287D"/>
    <w:rsid w:val="00FD77D0"/>
    <w:rsid w:val="00FE6AE8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3F53C-4821-4995-A851-C20336C0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5DC"/>
    <w:pPr>
      <w:spacing w:after="0" w:line="240" w:lineRule="auto"/>
    </w:pPr>
    <w:rPr>
      <w:rFonts w:ascii="Century Gothic" w:hAnsi="Century Gothic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5DC"/>
    <w:pPr>
      <w:keepNext/>
      <w:keepLines/>
      <w:spacing w:before="240"/>
      <w:outlineLvl w:val="0"/>
    </w:pPr>
    <w:rPr>
      <w:rFonts w:eastAsiaTheme="majorEastAsia" w:cstheme="majorBidi"/>
      <w:color w:val="76287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5DC"/>
    <w:pPr>
      <w:keepNext/>
      <w:keepLines/>
      <w:spacing w:before="200"/>
      <w:outlineLvl w:val="2"/>
    </w:pPr>
    <w:rPr>
      <w:rFonts w:eastAsiaTheme="majorEastAsia" w:cstheme="majorBidi"/>
      <w:bCs/>
      <w:color w:val="7030A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5DC"/>
    <w:rPr>
      <w:rFonts w:ascii="Century Gothic" w:eastAsiaTheme="majorEastAsia" w:hAnsi="Century Gothic" w:cstheme="majorBidi"/>
      <w:color w:val="762870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E05DC"/>
    <w:rPr>
      <w:rFonts w:ascii="Century Gothic" w:eastAsiaTheme="majorEastAsia" w:hAnsi="Century Gothic" w:cstheme="majorBidi"/>
      <w:bCs/>
      <w:color w:val="7030A0"/>
      <w:szCs w:val="24"/>
      <w:lang w:val="en-US"/>
    </w:rPr>
  </w:style>
  <w:style w:type="paragraph" w:styleId="Akapitzlist">
    <w:name w:val="List Paragraph"/>
    <w:aliases w:val="2 heading"/>
    <w:basedOn w:val="Normalny"/>
    <w:link w:val="AkapitzlistZnak"/>
    <w:uiPriority w:val="34"/>
    <w:qFormat/>
    <w:rsid w:val="00BE05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05DC"/>
    <w:rPr>
      <w:rFonts w:ascii="Calibri" w:eastAsia="MS Mincho" w:hAnsi="Calibri" w:cs="Times New Roman"/>
      <w:sz w:val="20"/>
      <w:szCs w:val="20"/>
      <w:lang w:val="es-ES" w:eastAsia="es-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05DC"/>
    <w:rPr>
      <w:rFonts w:ascii="Calibri" w:eastAsia="MS Mincho" w:hAnsi="Calibri" w:cs="Times New Roman"/>
      <w:sz w:val="20"/>
      <w:szCs w:val="20"/>
      <w:lang w:val="es-ES" w:eastAsia="es-ES"/>
    </w:rPr>
  </w:style>
  <w:style w:type="character" w:styleId="Odwoanieprzypisudolnego">
    <w:name w:val="footnote reference"/>
    <w:basedOn w:val="Domylnaczcionkaakapitu"/>
    <w:uiPriority w:val="99"/>
    <w:unhideWhenUsed/>
    <w:rsid w:val="00BE05DC"/>
    <w:rPr>
      <w:vertAlign w:val="superscript"/>
    </w:rPr>
  </w:style>
  <w:style w:type="character" w:customStyle="1" w:styleId="AkapitzlistZnak">
    <w:name w:val="Akapit z listą Znak"/>
    <w:aliases w:val="2 heading Znak"/>
    <w:link w:val="Akapitzlist"/>
    <w:uiPriority w:val="99"/>
    <w:locked/>
    <w:rsid w:val="00BE05DC"/>
    <w:rPr>
      <w:rFonts w:ascii="Century Gothic" w:hAnsi="Century Gothic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BE05DC"/>
    <w:pPr>
      <w:spacing w:after="120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BE05D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anumerowana">
    <w:name w:val="List Number"/>
    <w:basedOn w:val="Normalny"/>
    <w:rsid w:val="00BE05DC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2">
    <w:name w:val="List Number (Level 2)"/>
    <w:basedOn w:val="Normalny"/>
    <w:rsid w:val="00BE05DC"/>
    <w:pPr>
      <w:numPr>
        <w:ilvl w:val="1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3">
    <w:name w:val="List Number (Level 3)"/>
    <w:basedOn w:val="Normalny"/>
    <w:rsid w:val="00BE05DC"/>
    <w:pPr>
      <w:numPr>
        <w:ilvl w:val="2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4">
    <w:name w:val="List Number (Level 4)"/>
    <w:basedOn w:val="Normalny"/>
    <w:rsid w:val="00BE05DC"/>
    <w:pPr>
      <w:numPr>
        <w:ilvl w:val="3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tyleListNumber11ptBold">
    <w:name w:val="Style List Number + 11 pt Bold"/>
    <w:basedOn w:val="Listanumerowana"/>
    <w:autoRedefine/>
    <w:rsid w:val="00BE05DC"/>
    <w:pPr>
      <w:numPr>
        <w:numId w:val="0"/>
      </w:numPr>
      <w:spacing w:before="240" w:after="120"/>
      <w:ind w:left="567" w:hanging="567"/>
    </w:pPr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A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AA5"/>
    <w:rPr>
      <w:rFonts w:ascii="Century Gothic" w:hAnsi="Century Gothic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AA5"/>
    <w:rPr>
      <w:rFonts w:ascii="Century Gothic" w:hAnsi="Century Gothic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A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AA5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30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08A"/>
    <w:rPr>
      <w:rFonts w:ascii="Century Gothic" w:hAnsi="Century Gothic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30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08A"/>
    <w:rPr>
      <w:rFonts w:ascii="Century Gothic" w:hAnsi="Century Gothic"/>
      <w:sz w:val="24"/>
      <w:szCs w:val="24"/>
      <w:lang w:val="en-US"/>
    </w:rPr>
  </w:style>
  <w:style w:type="character" w:customStyle="1" w:styleId="shorttext">
    <w:name w:val="short_text"/>
    <w:basedOn w:val="Domylnaczcionkaakapitu"/>
    <w:rsid w:val="0053008A"/>
  </w:style>
  <w:style w:type="character" w:styleId="Hipercze">
    <w:name w:val="Hyperlink"/>
    <w:basedOn w:val="Domylnaczcionkaakapitu"/>
    <w:uiPriority w:val="99"/>
    <w:unhideWhenUsed/>
    <w:rsid w:val="0053008A"/>
    <w:rPr>
      <w:color w:val="0000FF" w:themeColor="hyperlink"/>
      <w:u w:val="single"/>
    </w:rPr>
  </w:style>
  <w:style w:type="paragraph" w:customStyle="1" w:styleId="Default">
    <w:name w:val="Default"/>
    <w:rsid w:val="00A856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5E0"/>
    <w:pPr>
      <w:spacing w:after="0" w:line="240" w:lineRule="auto"/>
    </w:pPr>
    <w:rPr>
      <w:rFonts w:ascii="Century Gothic" w:hAnsi="Century Gothic"/>
      <w:sz w:val="24"/>
      <w:szCs w:val="24"/>
      <w:lang w:val="en-US"/>
    </w:rPr>
  </w:style>
  <w:style w:type="character" w:customStyle="1" w:styleId="tlid-translation">
    <w:name w:val="tlid-translation"/>
    <w:basedOn w:val="Domylnaczcionkaakapitu"/>
    <w:rsid w:val="00F0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0C2A-F399-4525-929D-CFD39A21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1810</Words>
  <Characters>10860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szymon_denis</dc:creator>
  <cp:lastModifiedBy>Lolita Gedo</cp:lastModifiedBy>
  <cp:revision>6</cp:revision>
  <dcterms:created xsi:type="dcterms:W3CDTF">2019-03-03T15:01:00Z</dcterms:created>
  <dcterms:modified xsi:type="dcterms:W3CDTF">2019-03-29T13:48:00Z</dcterms:modified>
</cp:coreProperties>
</file>