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98" w:rsidRPr="00DD750D" w:rsidRDefault="006B2398">
      <w:pPr>
        <w:rPr>
          <w:lang w:val="en-GB"/>
        </w:rPr>
      </w:pPr>
      <w:bookmarkStart w:id="0" w:name="_GoBack"/>
      <w:bookmarkEnd w:id="0"/>
    </w:p>
    <w:p w:rsidR="00BE05DC" w:rsidRPr="00DD750D" w:rsidRDefault="00BE05DC">
      <w:pPr>
        <w:rPr>
          <w:lang w:val="en-GB"/>
        </w:rPr>
      </w:pPr>
    </w:p>
    <w:p w:rsidR="00BE05DC" w:rsidRPr="00DD750D" w:rsidRDefault="00BE05DC" w:rsidP="00BE05DC">
      <w:pPr>
        <w:pStyle w:val="Nagwek1"/>
        <w:jc w:val="center"/>
        <w:rPr>
          <w:color w:val="auto"/>
        </w:rPr>
      </w:pPr>
      <w:r>
        <w:rPr>
          <w:color w:val="auto"/>
        </w:rPr>
        <w:t>Образец договора между бенефициаром и аудитором</w:t>
      </w:r>
    </w:p>
    <w:p w:rsidR="00BE05DC" w:rsidRPr="00DD750D" w:rsidRDefault="00BE05DC" w:rsidP="00BE05DC">
      <w:pPr>
        <w:pStyle w:val="Nagwek3"/>
        <w:jc w:val="both"/>
        <w:rPr>
          <w:b/>
          <w:color w:val="auto"/>
          <w:sz w:val="20"/>
          <w:szCs w:val="20"/>
        </w:rPr>
      </w:pPr>
      <w:bookmarkStart w:id="1" w:name="_Toc445883444"/>
    </w:p>
    <w:p w:rsidR="00BE05DC" w:rsidRPr="00DD750D" w:rsidRDefault="00877481" w:rsidP="00BE05DC">
      <w:pPr>
        <w:pStyle w:val="Nagwek3"/>
        <w:jc w:val="center"/>
        <w:rPr>
          <w:color w:val="auto"/>
        </w:rPr>
      </w:pPr>
      <w:r>
        <w:rPr>
          <w:color w:val="auto"/>
        </w:rPr>
        <w:t>ДОГОВОР НА ПРОВЕРКУ РАСХОДОВ</w:t>
      </w:r>
      <w:r>
        <w:rPr>
          <w:color w:val="auto"/>
        </w:rPr>
        <w:br/>
        <w:t>по грантовому контракту [Наименование и номер грантового контракта] в рамках Программы трансграничного сотрудничества ЕИС «Польша-Беларусь-Украина» 2014-2020</w:t>
      </w:r>
    </w:p>
    <w:p w:rsidR="00BE05DC" w:rsidRPr="00166D78" w:rsidRDefault="00BE05DC" w:rsidP="00BE05DC">
      <w:pPr>
        <w:pStyle w:val="Nagwek3"/>
        <w:jc w:val="center"/>
        <w:rPr>
          <w:color w:val="auto"/>
        </w:rPr>
      </w:pPr>
    </w:p>
    <w:p w:rsidR="00BE05DC" w:rsidRPr="00166D78" w:rsidRDefault="00BE05DC" w:rsidP="00BE05DC">
      <w:pPr>
        <w:pStyle w:val="Nagwek3"/>
        <w:jc w:val="center"/>
        <w:rPr>
          <w:color w:val="auto"/>
        </w:rPr>
      </w:pPr>
    </w:p>
    <w:p w:rsidR="00BE05DC" w:rsidRPr="00166D78" w:rsidRDefault="00BE05DC" w:rsidP="00BE05DC"/>
    <w:p w:rsidR="00BE05DC" w:rsidRPr="00DD750D" w:rsidRDefault="00BE05DC" w:rsidP="00BE05DC">
      <w:pPr>
        <w:rPr>
          <w:sz w:val="22"/>
          <w:szCs w:val="22"/>
        </w:rPr>
      </w:pPr>
      <w:r>
        <w:rPr>
          <w:sz w:val="22"/>
          <w:szCs w:val="22"/>
        </w:rPr>
        <w:t xml:space="preserve">&lt;Полное наименование бенефициара&gt; </w:t>
      </w:r>
    </w:p>
    <w:p w:rsidR="00BE05DC" w:rsidRPr="00DD750D" w:rsidRDefault="00BE05DC" w:rsidP="00BE05DC">
      <w:pPr>
        <w:rPr>
          <w:sz w:val="22"/>
          <w:szCs w:val="22"/>
        </w:rPr>
      </w:pPr>
    </w:p>
    <w:p w:rsidR="00BE05DC" w:rsidRPr="00DD750D" w:rsidRDefault="00BE05DC" w:rsidP="00BE05DC">
      <w:pPr>
        <w:rPr>
          <w:sz w:val="22"/>
          <w:szCs w:val="22"/>
        </w:rPr>
      </w:pPr>
      <w:r>
        <w:rPr>
          <w:sz w:val="22"/>
          <w:szCs w:val="22"/>
        </w:rPr>
        <w:t>&lt;Адрес&gt;</w:t>
      </w:r>
    </w:p>
    <w:p w:rsidR="00BE05DC" w:rsidRPr="00DD750D" w:rsidRDefault="00BE05DC" w:rsidP="00BE05DC">
      <w:pPr>
        <w:rPr>
          <w:sz w:val="22"/>
          <w:szCs w:val="22"/>
        </w:rPr>
      </w:pPr>
      <w:r>
        <w:rPr>
          <w:sz w:val="22"/>
          <w:szCs w:val="22"/>
        </w:rPr>
        <w:t>[&lt;УНП&gt;]</w:t>
      </w:r>
    </w:p>
    <w:p w:rsidR="00BE05DC" w:rsidRPr="00166D78" w:rsidRDefault="00BE05DC" w:rsidP="00BE05DC">
      <w:pPr>
        <w:rPr>
          <w:sz w:val="22"/>
          <w:szCs w:val="22"/>
        </w:rPr>
      </w:pPr>
    </w:p>
    <w:p w:rsidR="00BE05DC" w:rsidRPr="00DD750D" w:rsidRDefault="00BE05DC" w:rsidP="00BE05DC">
      <w:pPr>
        <w:spacing w:after="120"/>
        <w:rPr>
          <w:sz w:val="22"/>
          <w:szCs w:val="22"/>
        </w:rPr>
      </w:pPr>
      <w:r>
        <w:rPr>
          <w:sz w:val="22"/>
          <w:szCs w:val="22"/>
        </w:rPr>
        <w:t>(далее – «Бенефициар»)</w:t>
      </w:r>
    </w:p>
    <w:p w:rsidR="00BE05DC" w:rsidRPr="00DD750D" w:rsidRDefault="00BE05DC" w:rsidP="00BE05DC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с одной стороны,</w:t>
      </w:r>
    </w:p>
    <w:p w:rsidR="00BE05DC" w:rsidRPr="00DD750D" w:rsidRDefault="00BE05DC" w:rsidP="00BE05DC">
      <w:pPr>
        <w:spacing w:after="120"/>
        <w:rPr>
          <w:sz w:val="22"/>
          <w:szCs w:val="22"/>
        </w:rPr>
      </w:pPr>
      <w:r>
        <w:rPr>
          <w:sz w:val="22"/>
          <w:szCs w:val="22"/>
        </w:rPr>
        <w:t>и</w:t>
      </w:r>
    </w:p>
    <w:p w:rsidR="00BE05DC" w:rsidRPr="00166D78" w:rsidRDefault="00BE05DC" w:rsidP="00BE05DC">
      <w:pPr>
        <w:spacing w:after="120"/>
        <w:rPr>
          <w:sz w:val="22"/>
          <w:szCs w:val="22"/>
        </w:rPr>
      </w:pPr>
    </w:p>
    <w:p w:rsidR="00BE05DC" w:rsidRPr="00DD750D" w:rsidRDefault="00BE05DC" w:rsidP="00BE05DC">
      <w:pPr>
        <w:rPr>
          <w:sz w:val="22"/>
          <w:szCs w:val="22"/>
        </w:rPr>
      </w:pPr>
      <w:r>
        <w:rPr>
          <w:sz w:val="22"/>
          <w:szCs w:val="22"/>
        </w:rPr>
        <w:t xml:space="preserve">&lt;Полное наименование подрядчика&gt; </w:t>
      </w:r>
    </w:p>
    <w:p w:rsidR="00BE05DC" w:rsidRPr="00DD750D" w:rsidRDefault="00BE05DC" w:rsidP="00BE05DC">
      <w:pPr>
        <w:rPr>
          <w:sz w:val="22"/>
          <w:szCs w:val="22"/>
        </w:rPr>
      </w:pPr>
    </w:p>
    <w:p w:rsidR="00BE05DC" w:rsidRPr="00DD750D" w:rsidRDefault="00BE05DC" w:rsidP="00BE05DC">
      <w:pPr>
        <w:rPr>
          <w:sz w:val="22"/>
          <w:szCs w:val="22"/>
        </w:rPr>
      </w:pPr>
      <w:r>
        <w:rPr>
          <w:sz w:val="22"/>
          <w:szCs w:val="22"/>
        </w:rPr>
        <w:t>&lt;Адрес&gt;</w:t>
      </w:r>
    </w:p>
    <w:p w:rsidR="00BE05DC" w:rsidRPr="00DD750D" w:rsidRDefault="00BE05DC" w:rsidP="00BE05DC">
      <w:pPr>
        <w:rPr>
          <w:sz w:val="22"/>
          <w:szCs w:val="22"/>
        </w:rPr>
      </w:pPr>
      <w:r>
        <w:rPr>
          <w:sz w:val="22"/>
          <w:szCs w:val="22"/>
        </w:rPr>
        <w:t xml:space="preserve">[&lt;УНП&gt;] </w:t>
      </w:r>
    </w:p>
    <w:p w:rsidR="00BE05DC" w:rsidRPr="00166D78" w:rsidRDefault="00BE05DC" w:rsidP="00BE05DC">
      <w:pPr>
        <w:rPr>
          <w:sz w:val="22"/>
          <w:szCs w:val="22"/>
        </w:rPr>
      </w:pPr>
    </w:p>
    <w:p w:rsidR="00BE05DC" w:rsidRPr="00DD750D" w:rsidRDefault="00BE05DC" w:rsidP="00BE05DC">
      <w:pPr>
        <w:rPr>
          <w:sz w:val="22"/>
          <w:szCs w:val="22"/>
        </w:rPr>
      </w:pPr>
      <w:r>
        <w:rPr>
          <w:sz w:val="22"/>
          <w:szCs w:val="22"/>
        </w:rPr>
        <w:t xml:space="preserve">(далее – «Аудитор») </w:t>
      </w:r>
    </w:p>
    <w:p w:rsidR="00BE05DC" w:rsidRPr="00DD750D" w:rsidRDefault="00BE05DC" w:rsidP="00BE05DC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с другой стороны,</w:t>
      </w:r>
    </w:p>
    <w:p w:rsidR="00BE05DC" w:rsidRPr="00DD750D" w:rsidRDefault="00BE05DC" w:rsidP="00BE05DC">
      <w:pPr>
        <w:spacing w:after="120"/>
        <w:rPr>
          <w:sz w:val="22"/>
          <w:szCs w:val="22"/>
        </w:rPr>
      </w:pPr>
      <w:r>
        <w:rPr>
          <w:sz w:val="22"/>
          <w:szCs w:val="22"/>
        </w:rPr>
        <w:t>заключили договор о нижеследующем:</w:t>
      </w:r>
    </w:p>
    <w:p w:rsidR="00BE05DC" w:rsidRPr="00DD750D" w:rsidRDefault="00BE05DC" w:rsidP="00BE05DC">
      <w:pPr>
        <w:pStyle w:val="StyleListNumber11ptBold"/>
        <w:rPr>
          <w:rFonts w:ascii="Century Gothic" w:eastAsiaTheme="minorHAnsi" w:hAnsi="Century Gothic" w:cstheme="minorBidi"/>
          <w:bCs w:val="0"/>
        </w:rPr>
      </w:pPr>
      <w:bookmarkStart w:id="2" w:name="_Hlk491603720"/>
      <w:r>
        <w:rPr>
          <w:rFonts w:ascii="Century Gothic" w:hAnsi="Century Gothic"/>
          <w:bCs w:val="0"/>
        </w:rPr>
        <w:t xml:space="preserve">Статья 1. </w:t>
      </w:r>
      <w:bookmarkEnd w:id="2"/>
      <w:r>
        <w:rPr>
          <w:rFonts w:ascii="Century Gothic" w:hAnsi="Century Gothic"/>
          <w:bCs w:val="0"/>
        </w:rPr>
        <w:t>Предмет договора</w:t>
      </w:r>
    </w:p>
    <w:p w:rsidR="00BE05DC" w:rsidRPr="00DD750D" w:rsidRDefault="00BE05DC" w:rsidP="00EA2AD7">
      <w:pPr>
        <w:pStyle w:val="Akapitzlist"/>
        <w:numPr>
          <w:ilvl w:val="1"/>
          <w:numId w:val="5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Предметом данного договора является проверка расходов по контракту [Наименование грантового контракта] с идентификационным номером &lt;Номер контракта&gt; (далее – «Услуги»).</w:t>
      </w:r>
    </w:p>
    <w:p w:rsidR="004B2F78" w:rsidRPr="00DD750D" w:rsidRDefault="004B2F78" w:rsidP="00EA2AD7">
      <w:pPr>
        <w:pStyle w:val="Akapitzlist"/>
        <w:numPr>
          <w:ilvl w:val="1"/>
          <w:numId w:val="5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Аудитор обязан:  </w:t>
      </w:r>
    </w:p>
    <w:p w:rsidR="002E1B5B" w:rsidRPr="00DD750D" w:rsidRDefault="002E1B5B" w:rsidP="00795E6A">
      <w:pPr>
        <w:pStyle w:val="Akapitzlist"/>
        <w:numPr>
          <w:ilvl w:val="0"/>
          <w:numId w:val="7"/>
        </w:numPr>
        <w:tabs>
          <w:tab w:val="left" w:pos="1701"/>
        </w:tabs>
        <w:spacing w:after="16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отвечать квалификации и требованиям для аудиторов, указанным  в Руководстве по проверке расходов</w:t>
      </w:r>
      <w:r w:rsidRPr="00DD750D">
        <w:rPr>
          <w:rStyle w:val="Odwoanieprzypisudolnego"/>
          <w:sz w:val="22"/>
          <w:szCs w:val="22"/>
          <w:lang w:val="en-GB"/>
        </w:rPr>
        <w:footnoteReference w:id="1"/>
      </w:r>
      <w:r>
        <w:rPr>
          <w:sz w:val="22"/>
          <w:szCs w:val="22"/>
        </w:rPr>
        <w:t>;</w:t>
      </w:r>
    </w:p>
    <w:p w:rsidR="00EA2AD7" w:rsidRPr="00DD750D" w:rsidRDefault="009C3CD0" w:rsidP="008E09D9">
      <w:pPr>
        <w:pStyle w:val="Akapitzlist"/>
        <w:numPr>
          <w:ilvl w:val="0"/>
          <w:numId w:val="7"/>
        </w:numPr>
        <w:tabs>
          <w:tab w:val="left" w:pos="1701"/>
        </w:tabs>
        <w:spacing w:after="16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выполнять процедуры по проверке расходов и готовить по их результатам документы на основании процедур и образцов, указанных в Руководстве по проверке расходов, анализируя </w:t>
      </w:r>
      <w:r>
        <w:rPr>
          <w:sz w:val="22"/>
          <w:szCs w:val="22"/>
        </w:rPr>
        <w:lastRenderedPageBreak/>
        <w:t xml:space="preserve">расходы, заявленные Бенефициаром, на основании условий приемлемости расходов, указанных в грантовом контракте. </w:t>
      </w:r>
    </w:p>
    <w:p w:rsidR="00BE05DC" w:rsidRPr="00DD750D" w:rsidRDefault="00A11D71" w:rsidP="00290516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>
        <w:rPr>
          <w:sz w:val="22"/>
          <w:szCs w:val="22"/>
        </w:rPr>
        <w:tab/>
        <w:t>Аудитор исполняет обязанности, возложенные на него/нее, в соответствии с требованиями, процедурами и образцами документов, которые прилагаются к настоящему договору либо иному дополнению, изданному Органом управления или Совместным техническим секретариатом.</w:t>
      </w:r>
    </w:p>
    <w:p w:rsidR="00BE05DC" w:rsidRPr="00DD750D" w:rsidRDefault="00BE05DC" w:rsidP="00BE05DC">
      <w:pPr>
        <w:pStyle w:val="StyleListNumber11ptBold"/>
        <w:rPr>
          <w:rFonts w:ascii="Century Gothic" w:eastAsiaTheme="minorHAnsi" w:hAnsi="Century Gothic" w:cstheme="minorBidi"/>
          <w:bCs w:val="0"/>
        </w:rPr>
      </w:pPr>
      <w:r>
        <w:rPr>
          <w:rFonts w:ascii="Century Gothic" w:hAnsi="Century Gothic"/>
          <w:bCs w:val="0"/>
        </w:rPr>
        <w:t>Статья 2. Стоимость договора</w:t>
      </w:r>
    </w:p>
    <w:p w:rsidR="00BE05DC" w:rsidRPr="00DD750D" w:rsidRDefault="00BE05DC" w:rsidP="00BE05D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является договором с </w:t>
      </w:r>
      <w:r w:rsidR="00166D78">
        <w:rPr>
          <w:sz w:val="22"/>
          <w:szCs w:val="22"/>
        </w:rPr>
        <w:t>фиксированной ценой,</w:t>
      </w:r>
      <w:r>
        <w:rPr>
          <w:sz w:val="22"/>
          <w:szCs w:val="22"/>
        </w:rPr>
        <w:t xml:space="preserve"> и оплата по нему производится в белорусских рублях. </w:t>
      </w:r>
    </w:p>
    <w:p w:rsidR="00BE05DC" w:rsidRPr="00DD750D" w:rsidRDefault="00BE05DC" w:rsidP="00BE05DC">
      <w:pPr>
        <w:pStyle w:val="StyleListNumber11ptBold"/>
        <w:rPr>
          <w:rFonts w:ascii="Century Gothic" w:eastAsiaTheme="minorHAnsi" w:hAnsi="Century Gothic" w:cstheme="minorBidi"/>
          <w:bCs w:val="0"/>
        </w:rPr>
      </w:pPr>
      <w:r>
        <w:rPr>
          <w:rFonts w:ascii="Century Gothic" w:hAnsi="Century Gothic"/>
          <w:bCs w:val="0"/>
        </w:rPr>
        <w:t>Статья 3. Документация к договору</w:t>
      </w:r>
    </w:p>
    <w:p w:rsidR="00BE05DC" w:rsidRPr="00DD750D" w:rsidRDefault="00BE05DC" w:rsidP="007F7A3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Следующие документы образуют часть настоящего договора и должны читаться и истолковываться как его составляющая:</w:t>
      </w:r>
    </w:p>
    <w:p w:rsidR="00FE6AE8" w:rsidRPr="00DD750D" w:rsidRDefault="001A71FB" w:rsidP="00FE6AE8">
      <w:pPr>
        <w:numPr>
          <w:ilvl w:val="0"/>
          <w:numId w:val="1"/>
        </w:numPr>
        <w:tabs>
          <w:tab w:val="left" w:pos="993"/>
        </w:tabs>
        <w:spacing w:after="6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1: Грантовый контракт с приложениями.</w:t>
      </w:r>
    </w:p>
    <w:p w:rsidR="0011364B" w:rsidRPr="00DD750D" w:rsidRDefault="001A71FB" w:rsidP="0011364B">
      <w:pPr>
        <w:numPr>
          <w:ilvl w:val="0"/>
          <w:numId w:val="1"/>
        </w:numPr>
        <w:tabs>
          <w:tab w:val="left" w:pos="993"/>
        </w:tabs>
        <w:spacing w:after="6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2: Программное руководство.</w:t>
      </w:r>
      <w:r w:rsidR="0011364B" w:rsidRPr="00DD750D">
        <w:rPr>
          <w:rStyle w:val="Odwoanieprzypisudolnego"/>
          <w:sz w:val="22"/>
          <w:szCs w:val="22"/>
          <w:lang w:val="en-GB"/>
        </w:rPr>
        <w:footnoteReference w:id="2"/>
      </w:r>
      <w:r>
        <w:rPr>
          <w:sz w:val="22"/>
          <w:szCs w:val="22"/>
        </w:rPr>
        <w:t xml:space="preserve">  </w:t>
      </w:r>
    </w:p>
    <w:p w:rsidR="00F23DD7" w:rsidRPr="00DD750D" w:rsidRDefault="00F23DD7" w:rsidP="0011364B">
      <w:pPr>
        <w:numPr>
          <w:ilvl w:val="0"/>
          <w:numId w:val="1"/>
        </w:numPr>
        <w:tabs>
          <w:tab w:val="left" w:pos="993"/>
        </w:tabs>
        <w:spacing w:after="6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3: Руководство по проверке расходов с приложениями.</w:t>
      </w:r>
    </w:p>
    <w:p w:rsidR="00BE05DC" w:rsidRPr="00DD750D" w:rsidRDefault="001A71FB" w:rsidP="00BE05DC">
      <w:pPr>
        <w:numPr>
          <w:ilvl w:val="0"/>
          <w:numId w:val="1"/>
        </w:numPr>
        <w:tabs>
          <w:tab w:val="left" w:pos="993"/>
        </w:tabs>
        <w:spacing w:after="6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4: Партнерское соглашение.</w:t>
      </w:r>
    </w:p>
    <w:p w:rsidR="00BE05DC" w:rsidRPr="00DD750D" w:rsidRDefault="00BE05DC" w:rsidP="00BE05DC">
      <w:pPr>
        <w:pStyle w:val="StyleListNumber11ptBold"/>
        <w:rPr>
          <w:rFonts w:ascii="Century Gothic" w:eastAsiaTheme="minorHAnsi" w:hAnsi="Century Gothic" w:cstheme="minorBidi"/>
          <w:bCs w:val="0"/>
        </w:rPr>
      </w:pPr>
      <w:r>
        <w:rPr>
          <w:rFonts w:ascii="Century Gothic" w:hAnsi="Century Gothic"/>
          <w:bCs w:val="0"/>
        </w:rPr>
        <w:t>Статья 4. Язык договора</w:t>
      </w:r>
    </w:p>
    <w:p w:rsidR="004F18E3" w:rsidRPr="00DD750D" w:rsidRDefault="004F18E3" w:rsidP="000904E1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Языком договора, официальной переписки между Аудитором и Бенефициаром, а также заключений, включая сертификат о проверке расходов, является английский. Рабочее взаимодействие может осуществляться на национальном языке.</w:t>
      </w:r>
    </w:p>
    <w:p w:rsidR="00BE05DC" w:rsidRPr="00DD750D" w:rsidRDefault="00BE05DC" w:rsidP="00BE05DC">
      <w:pPr>
        <w:spacing w:before="240" w:after="120"/>
        <w:ind w:left="1134" w:hanging="1134"/>
        <w:rPr>
          <w:b/>
        </w:rPr>
      </w:pPr>
      <w:bookmarkStart w:id="3" w:name="_Ref500218714"/>
      <w:r>
        <w:rPr>
          <w:b/>
        </w:rPr>
        <w:t>Статья 5.</w:t>
      </w:r>
      <w:r>
        <w:rPr>
          <w:b/>
        </w:rPr>
        <w:tab/>
        <w:t>Коммуникация</w:t>
      </w:r>
    </w:p>
    <w:p w:rsidR="00BE05DC" w:rsidRPr="00DD750D" w:rsidRDefault="007D14D5" w:rsidP="00BE05DC">
      <w:pPr>
        <w:keepNext/>
        <w:keepLines/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5.1&lt;Укажите контактные лица, адреса Сторон, их контактные данные, документы, необходимые для предоставления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и порядок действий, которые будут использоваться Сторонами для связи.&gt;</w:t>
      </w:r>
    </w:p>
    <w:p w:rsidR="00704073" w:rsidRPr="00DD750D" w:rsidRDefault="00704073" w:rsidP="00704073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Любое взаимодействие, касающееся соответствия приемлемости расходов, должно осуществляться письменно (в бумажном или электронном виде). </w:t>
      </w:r>
    </w:p>
    <w:p w:rsidR="00704073" w:rsidRPr="00DD750D" w:rsidRDefault="00704073" w:rsidP="00704073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rFonts w:eastAsia="TrebuchetMS" w:cs="TrebuchetMS"/>
          <w:color w:val="262626"/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  <w:t>Все документы, входящие в состав аудиторского заключения, направляются Аудитору в оригинальном виде, либо виде заверенной копии, либо на общепринятом информационном носителе, включая электронные версии оригинальных документов или документов, существующих только в электронном виде</w:t>
      </w:r>
      <w:r w:rsidR="0035774F" w:rsidRPr="00DD750D">
        <w:rPr>
          <w:rStyle w:val="Odwoanieprzypisudolnego"/>
          <w:sz w:val="22"/>
          <w:szCs w:val="22"/>
          <w:lang w:val="en-GB"/>
        </w:rPr>
        <w:footnoteReference w:id="3"/>
      </w:r>
      <w:r>
        <w:rPr>
          <w:sz w:val="22"/>
          <w:szCs w:val="22"/>
        </w:rPr>
        <w:t>.</w:t>
      </w:r>
      <w:r>
        <w:rPr>
          <w:color w:val="262626"/>
          <w:sz w:val="22"/>
          <w:szCs w:val="22"/>
        </w:rPr>
        <w:t xml:space="preserve"> </w:t>
      </w:r>
    </w:p>
    <w:p w:rsidR="00FD77D0" w:rsidRPr="00DD750D" w:rsidRDefault="00FD77D0" w:rsidP="00FD77D0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rFonts w:eastAsia="TrebuchetMS" w:cs="TrebuchetMS"/>
          <w:color w:val="262626"/>
        </w:rPr>
      </w:pPr>
      <w:r>
        <w:rPr>
          <w:sz w:val="22"/>
          <w:szCs w:val="22"/>
        </w:rPr>
        <w:t>5.4</w:t>
      </w:r>
      <w:r>
        <w:rPr>
          <w:sz w:val="22"/>
          <w:szCs w:val="22"/>
        </w:rPr>
        <w:tab/>
        <w:t xml:space="preserve">Если сторона запрашивает информацию или документы, то отправитель обязан предоставить необходимые данные в разумные сроки без </w:t>
      </w:r>
      <w:r>
        <w:rPr>
          <w:sz w:val="22"/>
          <w:szCs w:val="22"/>
        </w:rPr>
        <w:lastRenderedPageBreak/>
        <w:t xml:space="preserve">неоправданной задержки, но не позднее, чем в сроки, установленные для доставки документов по результатам проверки в Совместный технический секретариат. </w:t>
      </w:r>
    </w:p>
    <w:p w:rsidR="00BE05DC" w:rsidRPr="00DD750D" w:rsidRDefault="00BE05DC" w:rsidP="00BE05DC">
      <w:pPr>
        <w:tabs>
          <w:tab w:val="left" w:pos="1134"/>
        </w:tabs>
        <w:spacing w:before="240" w:after="120"/>
        <w:ind w:left="1134" w:hanging="1134"/>
        <w:rPr>
          <w:b/>
        </w:rPr>
      </w:pPr>
      <w:r>
        <w:rPr>
          <w:b/>
        </w:rPr>
        <w:t>Статья 6.</w:t>
      </w:r>
      <w:r>
        <w:rPr>
          <w:b/>
        </w:rPr>
        <w:tab/>
        <w:t>Исполнение обязанностей и сроки</w:t>
      </w:r>
    </w:p>
    <w:p w:rsidR="00BE05DC" w:rsidRPr="00DD750D" w:rsidRDefault="00BE05DC" w:rsidP="00BE05DC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6.1</w:t>
      </w:r>
      <w:r>
        <w:rPr>
          <w:sz w:val="22"/>
          <w:szCs w:val="22"/>
        </w:rPr>
        <w:tab/>
        <w:t>[Датой начала исполнения обязанностей является &lt;дата подписания договора обеими сторонами&gt;]</w:t>
      </w:r>
    </w:p>
    <w:p w:rsidR="00BE05DC" w:rsidRPr="00DD750D" w:rsidRDefault="00BE05DC" w:rsidP="00BE05DC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6.2</w:t>
      </w:r>
      <w:r>
        <w:rPr>
          <w:sz w:val="22"/>
          <w:szCs w:val="22"/>
        </w:rPr>
        <w:tab/>
        <w:t>Срок направления Бенефициару документов по результатам проверки составляет &lt;30&gt; календарных дней с момента направления Бенефициаром каждого отчета о ходе реализации проекта.</w:t>
      </w:r>
    </w:p>
    <w:p w:rsidR="00253F06" w:rsidRPr="00DD750D" w:rsidRDefault="00292507" w:rsidP="00253F06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>
        <w:rPr>
          <w:sz w:val="22"/>
          <w:szCs w:val="22"/>
        </w:rPr>
        <w:tab/>
        <w:t xml:space="preserve">Бенефициар предоставляет Аудитору для проверки отчет о ходе реализации проекта не позднее 14 календарных дней после конца отчетного периода.  </w:t>
      </w:r>
    </w:p>
    <w:p w:rsidR="00BE05DC" w:rsidRPr="00DD750D" w:rsidRDefault="00BE05DC" w:rsidP="00BE05DC">
      <w:pPr>
        <w:spacing w:after="120"/>
        <w:ind w:left="567" w:hanging="567"/>
        <w:jc w:val="both"/>
        <w:rPr>
          <w:b/>
        </w:rPr>
      </w:pPr>
      <w:r>
        <w:rPr>
          <w:b/>
        </w:rPr>
        <w:t>Статья 7. Ответственность</w:t>
      </w:r>
    </w:p>
    <w:p w:rsidR="00BE05DC" w:rsidRPr="00DD750D" w:rsidRDefault="00BE05DC" w:rsidP="00BE05DC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r>
        <w:rPr>
          <w:sz w:val="22"/>
          <w:szCs w:val="22"/>
        </w:rPr>
        <w:tab/>
        <w:t xml:space="preserve">Бенефициар несет ответственность за предоставление отчета о ходе реализации проекта, финансируемого в рамках Грантового контракта, который соответствует условиям данного контракта, а также за обеспечение согласованности отчета с бухгалтерской системой учета и базовой учетной документацией. </w:t>
      </w:r>
    </w:p>
    <w:p w:rsidR="00BE05DC" w:rsidRPr="00DD750D" w:rsidRDefault="00BE05DC" w:rsidP="00BE05DC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</w:rPr>
        <w:tab/>
        <w:t xml:space="preserve">Бенефициар обязан предоставить Аудитору свободный доступ к своей системе бухгалтерского учета, подтверждающим документам, документации по проекту и материальным активам, чтобы обеспечить возможность выполнения процедур, описанных в Приложении 1, своевременно и без ограничений. Бенефициар несет ответственность за предоставление достаточной и достоверной информации, как </w:t>
      </w:r>
      <w:r w:rsidR="009B755F">
        <w:rPr>
          <w:sz w:val="22"/>
          <w:szCs w:val="22"/>
        </w:rPr>
        <w:t>финансового,</w:t>
      </w:r>
      <w:r>
        <w:rPr>
          <w:sz w:val="22"/>
          <w:szCs w:val="22"/>
        </w:rPr>
        <w:t xml:space="preserve"> так и не финансового характера, которая служит обоснованием отчета о хоте реализации проекта.</w:t>
      </w:r>
    </w:p>
    <w:p w:rsidR="00BE05DC" w:rsidRPr="00DD750D" w:rsidRDefault="00BE05DC" w:rsidP="008E4EF3">
      <w:pPr>
        <w:pStyle w:val="Akapitzlist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Бенефициар признает, что возможность выполнения Аудитором проверочных процедур, требуемых по настоящему договору, фактически зависит от Бенефициара и, при определенных обстоятельствах, от его партнеров, а также от предоставления полного и свободного доступа к системе учета кадров, бухгалтерской системе учета и базовой учетной документации Бенефициара.</w:t>
      </w:r>
    </w:p>
    <w:p w:rsidR="00964C0E" w:rsidRPr="00DD750D" w:rsidRDefault="00BE05DC" w:rsidP="003038F8">
      <w:pPr>
        <w:pStyle w:val="Akapitzlist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Аудитор несет ответственность за выполнение аудиторских процедур, описанных в Руководстве по проверке расходов, надлежащим образом и с полным соблюдением указанных в нем стандартов и этических норм, а также за предоставление Бенефициару итоговых документов, содержащих полученные результаты, относительно конкретных выполненных процедур проверки, с учетом роли Аудитора, характера и объема проверочных действий, установленных в Руководстве по проверке расходов. </w:t>
      </w:r>
    </w:p>
    <w:p w:rsidR="00993CCD" w:rsidRPr="00DD750D" w:rsidRDefault="00B10454" w:rsidP="004E1FD0">
      <w:pPr>
        <w:pStyle w:val="Akapitzlis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Руководство по проверке расходов является неотъемлемой частью настоящего договора и должно в полной мере применяться к проверке расходов грантовому контракту [Наименование и номер грантового контракта].  </w:t>
      </w:r>
    </w:p>
    <w:p w:rsidR="00C1387D" w:rsidRPr="00DD750D" w:rsidRDefault="00C1387D" w:rsidP="00C1387D">
      <w:pPr>
        <w:pStyle w:val="Akapitzlist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Аудитор изучает условия грантового контракта посредством ознакомления с ним и с приложениями к нему, с Программным руководством, </w:t>
      </w:r>
      <w:r>
        <w:rPr>
          <w:sz w:val="22"/>
          <w:szCs w:val="22"/>
        </w:rPr>
        <w:lastRenderedPageBreak/>
        <w:t xml:space="preserve">Руководством по проверке расходов и иными необходимыми документами, а также по запросу Бенефициара или Контактного пункта контроля. </w:t>
      </w:r>
    </w:p>
    <w:p w:rsidR="00BA4E5D" w:rsidRPr="00DD750D" w:rsidRDefault="00C1387D" w:rsidP="009400AE">
      <w:pPr>
        <w:pStyle w:val="Akapitzlist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Аудитор производит документирование фактов таким образом, чтобы предоставить подтверждение полученных результатов, доказательство приемлемости расходов (посредством сбора соответствующей подтверждающей документации), а также подтверждение того, что работы были выполнены в соответствии с характером и объемом процедур, установленных в Руководстве по проверке расходов. Аудитор использует доказательства, полученные по результатам данных процедур, как основу для отчета о полученных результатах. Несоблюдение данных правил приведет к тому, что расходы будут отнесены к категории неприемлемых для финансирования со стороны ЕС. </w:t>
      </w:r>
    </w:p>
    <w:p w:rsidR="00E12D28" w:rsidRPr="00DD750D" w:rsidRDefault="00E12D28" w:rsidP="00E12D28">
      <w:pPr>
        <w:pStyle w:val="Akapitzlist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Аудитор гарантирует надлежащее документирование процесса и результата проверочных действий таким образом, что любой другой аудитор сможет провести повторные проверочные мероприятия, основываясь только на документах, собранных и подготовленных Аудитором. </w:t>
      </w:r>
    </w:p>
    <w:p w:rsidR="00AD66F2" w:rsidRDefault="00AD66F2" w:rsidP="00167EE7">
      <w:pPr>
        <w:pStyle w:val="Akapitzlist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Аудитор обязуется посещать специальные тренинги и встречи для аудиторов, организуемые компетентными органами Программы </w:t>
      </w:r>
    </w:p>
    <w:p w:rsidR="00C1387D" w:rsidRPr="00DD750D" w:rsidRDefault="000F4FF3" w:rsidP="003038F8">
      <w:pPr>
        <w:pStyle w:val="Akapitzlist"/>
        <w:numPr>
          <w:ilvl w:val="1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Аудитор обязан взаимодействовать с Совместным техническим секретариатом, Контактным пунктом контроля и другими органами, уполномоченными осуществлять контроль за реализацией проектов, включая предоставление разъяснений, а также доступа к документам, собранным в ходе аудиторской проверки. </w:t>
      </w:r>
    </w:p>
    <w:p w:rsidR="00BE05DC" w:rsidRPr="00DD750D" w:rsidRDefault="00BE05DC" w:rsidP="00BE05DC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</w:rPr>
      </w:pPr>
      <w:r>
        <w:rPr>
          <w:b/>
        </w:rPr>
        <w:t>Статья 8.</w:t>
      </w:r>
      <w:r>
        <w:rPr>
          <w:b/>
        </w:rPr>
        <w:tab/>
        <w:t>Документы по результатам проверки</w:t>
      </w:r>
      <w:bookmarkEnd w:id="3"/>
    </w:p>
    <w:p w:rsidR="00311ADC" w:rsidRPr="00DD750D" w:rsidRDefault="00BE05DC" w:rsidP="00BE05DC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>
        <w:rPr>
          <w:sz w:val="22"/>
          <w:szCs w:val="22"/>
        </w:rPr>
        <w:tab/>
        <w:t>Аудитор направляет Бенефициару документы по результатам проверки (сертификат с соответствующим(и) контрольным(и) списком(</w:t>
      </w:r>
      <w:proofErr w:type="spellStart"/>
      <w:r>
        <w:rPr>
          <w:sz w:val="22"/>
          <w:szCs w:val="22"/>
        </w:rPr>
        <w:t>ами</w:t>
      </w:r>
      <w:proofErr w:type="spellEnd"/>
      <w:r>
        <w:rPr>
          <w:sz w:val="22"/>
          <w:szCs w:val="22"/>
        </w:rPr>
        <w:t>)) в соответствии с шаблонами и процедурами, указанными в Руководстве по проверке расходов.</w:t>
      </w:r>
    </w:p>
    <w:p w:rsidR="00BE05DC" w:rsidRPr="00DD750D" w:rsidRDefault="00BE05DC" w:rsidP="00BE05DC">
      <w:pPr>
        <w:spacing w:after="120"/>
        <w:ind w:left="567" w:hanging="567"/>
        <w:jc w:val="both"/>
        <w:rPr>
          <w:sz w:val="22"/>
          <w:szCs w:val="22"/>
        </w:rPr>
      </w:pPr>
      <w:r>
        <w:t>8.2</w:t>
      </w:r>
      <w:r>
        <w:tab/>
      </w:r>
      <w:proofErr w:type="gramStart"/>
      <w:r>
        <w:t>В</w:t>
      </w:r>
      <w:proofErr w:type="gramEnd"/>
      <w:r>
        <w:t xml:space="preserve"> случае выявления признаков и/или установленных фактов мошенничества Аудитор незамедлительно направляет ноту о нарушениях непосредственно в </w:t>
      </w:r>
      <w:bookmarkStart w:id="4" w:name="_Hlk491604352"/>
      <w:r>
        <w:t>Совместный технический секретариат, указанный в грантовом контракте</w:t>
      </w:r>
      <w:bookmarkEnd w:id="4"/>
      <w:r>
        <w:t>.</w:t>
      </w:r>
      <w:r>
        <w:rPr>
          <w:sz w:val="22"/>
          <w:szCs w:val="22"/>
        </w:rPr>
        <w:t xml:space="preserve"> </w:t>
      </w:r>
    </w:p>
    <w:p w:rsidR="00BE05DC" w:rsidRPr="00DD750D" w:rsidRDefault="00BE05DC" w:rsidP="00BE05DC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</w:rPr>
      </w:pPr>
      <w:r>
        <w:rPr>
          <w:b/>
        </w:rPr>
        <w:t>Статья 9.</w:t>
      </w:r>
      <w:r>
        <w:rPr>
          <w:b/>
        </w:rPr>
        <w:tab/>
        <w:t xml:space="preserve">Утверждение документов по результатам проверки </w:t>
      </w:r>
    </w:p>
    <w:p w:rsidR="00BE05DC" w:rsidRPr="00DD750D" w:rsidRDefault="00BE05D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9.1</w:t>
      </w:r>
      <w:r>
        <w:rPr>
          <w:rFonts w:ascii="Century Gothic" w:hAnsi="Century Gothic"/>
          <w:sz w:val="22"/>
          <w:szCs w:val="22"/>
        </w:rPr>
        <w:tab/>
        <w:t>Сертификат Аудитора с соответствующим(и) контрольным(и) списком(</w:t>
      </w:r>
      <w:proofErr w:type="spellStart"/>
      <w:r>
        <w:rPr>
          <w:rFonts w:ascii="Century Gothic" w:hAnsi="Century Gothic"/>
          <w:sz w:val="22"/>
          <w:szCs w:val="22"/>
        </w:rPr>
        <w:t>ами</w:t>
      </w:r>
      <w:proofErr w:type="spellEnd"/>
      <w:r>
        <w:rPr>
          <w:rFonts w:ascii="Century Gothic" w:hAnsi="Century Gothic"/>
          <w:sz w:val="22"/>
          <w:szCs w:val="22"/>
        </w:rPr>
        <w:t xml:space="preserve">) утверждается Органом управления и Совместным техническим секретариатом, указанными в грантовом контракте, после их направления ведущим бенефициаром. </w:t>
      </w:r>
      <w:r>
        <w:rPr>
          <w:rFonts w:ascii="Century Gothic" w:hAnsi="Century Gothic"/>
          <w:color w:val="000000"/>
          <w:sz w:val="22"/>
          <w:szCs w:val="22"/>
        </w:rPr>
        <w:t xml:space="preserve">В случае необходимости у Аудитору может быть направлен запрос на предоставление разъяснений или дополнительной информации относительно документов по результатам проверки и отчета о ходе реализации проекта. </w:t>
      </w:r>
    </w:p>
    <w:p w:rsidR="00BE05DC" w:rsidRPr="00DD750D" w:rsidRDefault="00BE05D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9.2</w:t>
      </w:r>
      <w:r>
        <w:rPr>
          <w:rFonts w:ascii="Century Gothic" w:hAnsi="Century Gothic"/>
          <w:sz w:val="22"/>
          <w:szCs w:val="22"/>
        </w:rPr>
        <w:tab/>
        <w:t xml:space="preserve">При возникновении у Органа управления, Совместного технического секретариата, Контактного пункта контроля или любого другого из уполномоченных органов контроля каких-либо сомнений относительно одобренных расходов, включенных в отчет о ходе реализации, и </w:t>
      </w:r>
      <w:r>
        <w:rPr>
          <w:rFonts w:ascii="Century Gothic" w:hAnsi="Century Gothic"/>
          <w:sz w:val="22"/>
          <w:szCs w:val="22"/>
        </w:rPr>
        <w:lastRenderedPageBreak/>
        <w:t>результатов, указанных в сертификате Аудитора, Аудитору направляется запрос на предоставление разъяснений, документов, который должен быть исполнен в течение не более 7 календарных дней или сроков, указанных органом контроля.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6677FD" w:rsidRPr="00DD750D" w:rsidRDefault="00677146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9.3 </w:t>
      </w:r>
      <w:r>
        <w:rPr>
          <w:rFonts w:ascii="Century Gothic" w:hAnsi="Century Gothic"/>
          <w:color w:val="000000"/>
          <w:sz w:val="22"/>
          <w:szCs w:val="22"/>
        </w:rPr>
        <w:tab/>
      </w:r>
      <w:proofErr w:type="gramStart"/>
      <w:r>
        <w:rPr>
          <w:rFonts w:ascii="Century Gothic" w:hAnsi="Century Gothic"/>
          <w:sz w:val="22"/>
          <w:szCs w:val="22"/>
        </w:rPr>
        <w:t>В</w:t>
      </w:r>
      <w:proofErr w:type="gramEnd"/>
      <w:r>
        <w:rPr>
          <w:rFonts w:ascii="Century Gothic" w:hAnsi="Century Gothic"/>
          <w:sz w:val="22"/>
          <w:szCs w:val="22"/>
        </w:rPr>
        <w:t xml:space="preserve"> случае положительного рассмотрения апелляции по результатам проверки Аудитора, поданной в Совместный технический секретариат, расходы, признанные приемлемыми вследствие удовлетворения возражений, подлежат утверждению Аудитором в следующем отчете. В случае финального отчета в документы по результатам проверки должны быть внесены соответствующие изменения.</w:t>
      </w:r>
    </w:p>
    <w:p w:rsidR="00BE05DC" w:rsidRPr="00DD750D" w:rsidRDefault="00BE05DC" w:rsidP="00BE05DC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</w:rPr>
      </w:pPr>
      <w:r>
        <w:rPr>
          <w:b/>
        </w:rPr>
        <w:t>Статья 10.</w:t>
      </w:r>
      <w:r>
        <w:rPr>
          <w:b/>
        </w:rPr>
        <w:tab/>
        <w:t>Контроль качества, осуществляемый органами Программы</w:t>
      </w:r>
    </w:p>
    <w:p w:rsidR="00BE05DC" w:rsidRPr="00DD750D" w:rsidRDefault="00BE05D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10.1</w:t>
      </w:r>
      <w:r>
        <w:rPr>
          <w:rFonts w:ascii="Century Gothic" w:hAnsi="Century Gothic"/>
          <w:sz w:val="22"/>
          <w:szCs w:val="22"/>
        </w:rPr>
        <w:tab/>
        <w:t>Орган управления, Совместный технический секретариат или Контактный пункт контроля вправе осуществлять контроль качества работы, выполняемой Аудитором, включая изучение рабочей документации, в любой момент реализации грантового контракта.</w:t>
      </w:r>
    </w:p>
    <w:p w:rsidR="006411D2" w:rsidRPr="00DD750D" w:rsidRDefault="006411D2" w:rsidP="006411D2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color w:val="FF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10.2</w:t>
      </w:r>
      <w:r>
        <w:rPr>
          <w:rFonts w:ascii="Century Gothic" w:hAnsi="Century Gothic"/>
          <w:sz w:val="22"/>
          <w:szCs w:val="22"/>
        </w:rPr>
        <w:tab/>
        <w:t xml:space="preserve">Аудитор должен хранить заверенные копии подтверждающих документов, проверенные на предмет подтверждения приемлемости всех расходов, включенных в отчет о ходе реализации проекта, и предоставлять их Контактному пункту контроля или любому другому уполномоченному органу контроля по запросу. Запрос на предоставление данных документов может быть направлен Аудитору в течение </w:t>
      </w:r>
      <w:r>
        <w:rPr>
          <w:rFonts w:ascii="Century Gothic" w:hAnsi="Century Gothic"/>
          <w:color w:val="FF0000"/>
          <w:sz w:val="22"/>
          <w:szCs w:val="22"/>
        </w:rPr>
        <w:t xml:space="preserve">5 лет после утверждения финального отчета о ходе реализации проекта. </w:t>
      </w:r>
    </w:p>
    <w:p w:rsidR="00BE05DC" w:rsidRPr="00DD750D" w:rsidRDefault="006411D2" w:rsidP="00B82AEF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10.3</w:t>
      </w:r>
      <w:r>
        <w:rPr>
          <w:rFonts w:ascii="Century Gothic" w:hAnsi="Century Gothic"/>
          <w:sz w:val="22"/>
          <w:szCs w:val="22"/>
        </w:rPr>
        <w:tab/>
        <w:t>По результатам контроля качества (а также по запросу Органа управления / Совместного технического секретариата) Контактный пункт контроля вправе отменить утверждение Аудитора (исключить его из списка одобренных аудиторов).</w:t>
      </w:r>
      <w:r w:rsidR="00985B82" w:rsidRPr="00DD750D">
        <w:rPr>
          <w:rStyle w:val="Odwoanieprzypisudolnego"/>
          <w:rFonts w:ascii="Century Gothic" w:eastAsiaTheme="minorHAnsi" w:hAnsi="Century Gothic" w:cstheme="minorBidi"/>
          <w:sz w:val="22"/>
          <w:szCs w:val="22"/>
        </w:rPr>
        <w:footnoteReference w:id="4"/>
      </w:r>
      <w:r>
        <w:rPr>
          <w:rFonts w:ascii="Century Gothic" w:hAnsi="Century Gothic"/>
          <w:sz w:val="22"/>
          <w:szCs w:val="22"/>
        </w:rPr>
        <w:t xml:space="preserve">  </w:t>
      </w:r>
    </w:p>
    <w:p w:rsidR="00FB510C" w:rsidRPr="00DD750D" w:rsidRDefault="00B82AEF" w:rsidP="00B82AEF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10.4</w:t>
      </w:r>
      <w:r>
        <w:rPr>
          <w:rFonts w:ascii="Century Gothic" w:hAnsi="Century Gothic"/>
          <w:sz w:val="22"/>
          <w:szCs w:val="22"/>
        </w:rPr>
        <w:tab/>
        <w:t>Если Контактный пункт контроля отменяет утверждение Аудитора (исключает его из списка утвержденных аудиторов)</w:t>
      </w:r>
      <w:r w:rsidR="00236F3C" w:rsidRPr="00DD750D">
        <w:rPr>
          <w:rStyle w:val="Odwoanieprzypisudolnego"/>
          <w:rFonts w:ascii="Century Gothic" w:eastAsiaTheme="minorHAnsi" w:hAnsi="Century Gothic" w:cstheme="minorBidi"/>
          <w:sz w:val="22"/>
          <w:szCs w:val="22"/>
        </w:rPr>
        <w:footnoteReference w:id="5"/>
      </w:r>
      <w:r>
        <w:rPr>
          <w:rFonts w:ascii="Century Gothic" w:hAnsi="Century Gothic"/>
          <w:sz w:val="22"/>
          <w:szCs w:val="22"/>
        </w:rPr>
        <w:t xml:space="preserve"> в качестве уполномоченного на осуществление аудиторских функций в случаях, определенных в Руководстве по проверке расходов, Бенефициар получает право прекратить исполнение настоящего договора.  В случае такого прекращения договора Бенефициар освобождается от материальной ответственности.</w:t>
      </w:r>
    </w:p>
    <w:p w:rsidR="007558FB" w:rsidRPr="00DD750D" w:rsidRDefault="003A757E" w:rsidP="007558FB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10.5</w:t>
      </w:r>
      <w:r>
        <w:rPr>
          <w:rFonts w:ascii="Century Gothic" w:hAnsi="Century Gothic"/>
          <w:sz w:val="22"/>
          <w:szCs w:val="22"/>
        </w:rPr>
        <w:tab/>
        <w:t xml:space="preserve">Аудитор и Бенефициар могут быть подвергнуты проверке или аудиту со стороны Европейской комиссии, Европейского бюро по борьбе с мошенничеством, Европейской счетной палаты, Органа аудита при поддержке членов Группы аудиторов и любых других внешних аудиторов, уполномоченных на проверку расходов по проекту. В случае проведения такого аудита и проверки Аудитор и Бенефициар предпринимают меры содействия и предоставляют доступ к необходимым документам, помещениям. </w:t>
      </w:r>
    </w:p>
    <w:p w:rsidR="00BE05DC" w:rsidRPr="00DD750D" w:rsidRDefault="00BE05DC" w:rsidP="00BE05DC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</w:rPr>
      </w:pPr>
      <w:r>
        <w:rPr>
          <w:b/>
        </w:rPr>
        <w:lastRenderedPageBreak/>
        <w:t>Статья 11.</w:t>
      </w:r>
      <w:r>
        <w:rPr>
          <w:b/>
        </w:rPr>
        <w:tab/>
        <w:t xml:space="preserve">Оплата </w:t>
      </w:r>
    </w:p>
    <w:p w:rsidR="00BE05DC" w:rsidRPr="00DD750D" w:rsidRDefault="00BE05DC" w:rsidP="00BE05DC">
      <w:pPr>
        <w:rPr>
          <w:i/>
          <w:sz w:val="22"/>
          <w:szCs w:val="22"/>
        </w:rPr>
      </w:pPr>
      <w:r>
        <w:rPr>
          <w:sz w:val="22"/>
          <w:szCs w:val="22"/>
        </w:rPr>
        <w:t>Бенефициар определяет размер возмещаемых расходов и суточных (напр. за поездки и др.), согласованных с Аудитором, за исключением случаев, когда они включены в вознаграждение за выполняемые работы, а также включается ли НДС и/или другие соответствующие налоги в такие вознаграждения/расходы.</w:t>
      </w:r>
      <w:r>
        <w:rPr>
          <w:i/>
          <w:sz w:val="22"/>
          <w:szCs w:val="22"/>
        </w:rPr>
        <w:t xml:space="preserve"> </w:t>
      </w:r>
    </w:p>
    <w:p w:rsidR="00BE05DC" w:rsidRPr="00166D78" w:rsidRDefault="00BE05DC" w:rsidP="00BE05DC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</w:rPr>
      </w:pPr>
    </w:p>
    <w:p w:rsidR="00BE05DC" w:rsidRPr="00DD750D" w:rsidRDefault="00BE05DC" w:rsidP="00BE05DC">
      <w:pPr>
        <w:keepNext/>
        <w:keepLines/>
        <w:spacing w:after="120"/>
        <w:ind w:left="567" w:hanging="567"/>
        <w:rPr>
          <w:sz w:val="22"/>
          <w:szCs w:val="22"/>
          <w:highlight w:val="yellow"/>
        </w:rPr>
      </w:pPr>
      <w:r>
        <w:rPr>
          <w:sz w:val="22"/>
          <w:szCs w:val="22"/>
        </w:rPr>
        <w:tab/>
        <w:t>Оплата производится согласно следующей схеме:</w:t>
      </w:r>
      <w:r>
        <w:rPr>
          <w:sz w:val="22"/>
          <w:szCs w:val="22"/>
          <w:highlight w:val="yellow"/>
        </w:rPr>
        <w:t xml:space="preserve"> </w:t>
      </w:r>
    </w:p>
    <w:p w:rsidR="00BE05DC" w:rsidRPr="00166D78" w:rsidRDefault="00BE05DC" w:rsidP="00BE05DC">
      <w:pPr>
        <w:keepNext/>
        <w:ind w:left="567"/>
        <w:rPr>
          <w:sz w:val="22"/>
          <w:szCs w:val="22"/>
        </w:rPr>
      </w:pPr>
    </w:p>
    <w:tbl>
      <w:tblPr>
        <w:tblW w:w="65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820"/>
      </w:tblGrid>
      <w:tr w:rsidR="00BE05DC" w:rsidRPr="00DD750D" w:rsidTr="00F7200B">
        <w:trPr>
          <w:cantSplit/>
          <w:trHeight w:val="345"/>
        </w:trPr>
        <w:tc>
          <w:tcPr>
            <w:tcW w:w="1730" w:type="dxa"/>
          </w:tcPr>
          <w:p w:rsidR="00BE05DC" w:rsidRPr="00DD750D" w:rsidRDefault="00BE05DC" w:rsidP="00F7200B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4820" w:type="dxa"/>
          </w:tcPr>
          <w:p w:rsidR="00BE05DC" w:rsidRPr="00DD750D" w:rsidRDefault="00BE05DC" w:rsidP="00F7200B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[&lt;</w:t>
            </w:r>
            <w:r>
              <w:rPr>
                <w:b/>
                <w:sz w:val="22"/>
                <w:szCs w:val="22"/>
                <w:highlight w:val="yellow"/>
              </w:rPr>
              <w:t>код национальной валюты</w:t>
            </w:r>
            <w:r>
              <w:rPr>
                <w:b/>
                <w:sz w:val="22"/>
                <w:szCs w:val="22"/>
              </w:rPr>
              <w:t>&gt;]</w:t>
            </w:r>
          </w:p>
        </w:tc>
      </w:tr>
      <w:tr w:rsidR="00BE05DC" w:rsidRPr="00DD750D" w:rsidTr="00F7200B">
        <w:trPr>
          <w:cantSplit/>
          <w:trHeight w:val="693"/>
        </w:trPr>
        <w:tc>
          <w:tcPr>
            <w:tcW w:w="1730" w:type="dxa"/>
          </w:tcPr>
          <w:p w:rsidR="00BE05DC" w:rsidRPr="00DD750D" w:rsidRDefault="00BE05DC" w:rsidP="00F7200B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BE05DC" w:rsidRPr="00DD750D" w:rsidRDefault="00BE05DC" w:rsidP="00F7200B">
            <w:pPr>
              <w:keepNext/>
              <w:spacing w:before="40" w:after="40"/>
              <w:jc w:val="center"/>
            </w:pPr>
            <w:r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  <w:highlight w:val="yellow"/>
              </w:rPr>
              <w:t>X% от стоимости договора</w:t>
            </w:r>
            <w:r>
              <w:rPr>
                <w:sz w:val="22"/>
                <w:szCs w:val="22"/>
              </w:rPr>
              <w:t>&gt;</w:t>
            </w:r>
          </w:p>
        </w:tc>
      </w:tr>
      <w:tr w:rsidR="00BE05DC" w:rsidRPr="00DD750D" w:rsidTr="00F7200B">
        <w:trPr>
          <w:cantSplit/>
          <w:trHeight w:val="831"/>
        </w:trPr>
        <w:tc>
          <w:tcPr>
            <w:tcW w:w="1730" w:type="dxa"/>
            <w:tcBorders>
              <w:bottom w:val="nil"/>
            </w:tcBorders>
          </w:tcPr>
          <w:p w:rsidR="00BE05DC" w:rsidRPr="00DD750D" w:rsidRDefault="00BE05DC" w:rsidP="00F7200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highlight w:val="yellow"/>
              </w:rPr>
              <w:t>&lt;n&gt;</w:t>
            </w:r>
          </w:p>
        </w:tc>
        <w:tc>
          <w:tcPr>
            <w:tcW w:w="4820" w:type="dxa"/>
            <w:tcBorders>
              <w:bottom w:val="nil"/>
            </w:tcBorders>
          </w:tcPr>
          <w:p w:rsidR="00BE05DC" w:rsidRPr="00DD750D" w:rsidRDefault="00BE05DC" w:rsidP="00F7200B">
            <w:pPr>
              <w:jc w:val="center"/>
            </w:pPr>
            <w:r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  <w:highlight w:val="yellow"/>
              </w:rPr>
              <w:t>X% от стоимости договора</w:t>
            </w:r>
            <w:r>
              <w:rPr>
                <w:sz w:val="22"/>
                <w:szCs w:val="22"/>
              </w:rPr>
              <w:t>&gt;</w:t>
            </w:r>
          </w:p>
        </w:tc>
      </w:tr>
      <w:tr w:rsidR="00BE05DC" w:rsidRPr="00DD750D" w:rsidTr="00F7200B">
        <w:trPr>
          <w:cantSplit/>
          <w:trHeight w:val="814"/>
        </w:trPr>
        <w:tc>
          <w:tcPr>
            <w:tcW w:w="1730" w:type="dxa"/>
            <w:tcBorders>
              <w:bottom w:val="nil"/>
            </w:tcBorders>
          </w:tcPr>
          <w:p w:rsidR="00BE05DC" w:rsidRPr="00DD750D" w:rsidRDefault="00BE05DC" w:rsidP="00F7200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Финальный отчет</w:t>
            </w:r>
          </w:p>
        </w:tc>
        <w:tc>
          <w:tcPr>
            <w:tcW w:w="4820" w:type="dxa"/>
            <w:tcBorders>
              <w:bottom w:val="nil"/>
            </w:tcBorders>
          </w:tcPr>
          <w:p w:rsidR="00BE05DC" w:rsidRPr="00DD750D" w:rsidRDefault="00BE05DC" w:rsidP="00F7200B">
            <w:pPr>
              <w:jc w:val="center"/>
            </w:pPr>
            <w:r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  <w:highlight w:val="yellow"/>
              </w:rPr>
              <w:t>X% от стоимости договора</w:t>
            </w:r>
            <w:r>
              <w:rPr>
                <w:sz w:val="22"/>
                <w:szCs w:val="22"/>
              </w:rPr>
              <w:t>&gt;</w:t>
            </w:r>
          </w:p>
          <w:p w:rsidR="00BE05DC" w:rsidRPr="00DD750D" w:rsidRDefault="00BE05DC" w:rsidP="00F7200B">
            <w:pPr>
              <w:jc w:val="center"/>
              <w:rPr>
                <w:lang w:val="en-GB"/>
              </w:rPr>
            </w:pPr>
          </w:p>
        </w:tc>
      </w:tr>
      <w:tr w:rsidR="00BE05DC" w:rsidRPr="00DD750D" w:rsidTr="00F7200B">
        <w:trPr>
          <w:cantSplit/>
          <w:trHeight w:val="373"/>
        </w:trPr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:rsidR="00BE05DC" w:rsidRPr="00DD750D" w:rsidRDefault="00BE05DC" w:rsidP="00F7200B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:rsidR="00BE05DC" w:rsidRPr="00DD750D" w:rsidRDefault="00BE05DC" w:rsidP="00F7200B">
            <w:pPr>
              <w:jc w:val="center"/>
            </w:pPr>
            <w:r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  <w:highlight w:val="yellow"/>
              </w:rPr>
              <w:t>Общая стоимость договора</w:t>
            </w:r>
            <w:r>
              <w:rPr>
                <w:sz w:val="22"/>
                <w:szCs w:val="22"/>
              </w:rPr>
              <w:t>&gt;</w:t>
            </w:r>
          </w:p>
        </w:tc>
      </w:tr>
    </w:tbl>
    <w:p w:rsidR="00BE05DC" w:rsidRPr="00DD750D" w:rsidRDefault="00BE05DC" w:rsidP="00BE05DC">
      <w:pPr>
        <w:tabs>
          <w:tab w:val="left" w:pos="567"/>
        </w:tabs>
        <w:spacing w:after="120"/>
        <w:ind w:left="567" w:hanging="567"/>
        <w:rPr>
          <w:sz w:val="22"/>
          <w:szCs w:val="22"/>
          <w:lang w:val="en-GB"/>
        </w:rPr>
      </w:pPr>
    </w:p>
    <w:p w:rsidR="00BE05DC" w:rsidRPr="00DD750D" w:rsidRDefault="00BE05DC" w:rsidP="00BE05DC">
      <w:pPr>
        <w:keepNext/>
        <w:keepLines/>
        <w:tabs>
          <w:tab w:val="left" w:pos="1134"/>
          <w:tab w:val="left" w:pos="6495"/>
        </w:tabs>
        <w:spacing w:before="240" w:after="120"/>
        <w:ind w:left="1134" w:hanging="1134"/>
        <w:rPr>
          <w:b/>
        </w:rPr>
      </w:pPr>
      <w:r>
        <w:rPr>
          <w:b/>
        </w:rPr>
        <w:t>Статья 12. Урегулирование споров и применимое законодательство</w:t>
      </w:r>
    </w:p>
    <w:p w:rsidR="00BE05DC" w:rsidRPr="00DD750D" w:rsidRDefault="00BE05DC" w:rsidP="005A519B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12.1</w:t>
      </w:r>
      <w:r>
        <w:rPr>
          <w:sz w:val="22"/>
          <w:szCs w:val="22"/>
        </w:rPr>
        <w:tab/>
        <w:t xml:space="preserve">Любые споры, возникающие из настоящего договора или связанные с ним, которые не могут быть урегулированы по взаимной договоренности, относятся к исключительной юрисдикции судов по месту нахождения Бенефициара. </w:t>
      </w:r>
    </w:p>
    <w:p w:rsidR="005A519B" w:rsidRDefault="00BE05DC" w:rsidP="005A519B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</w:rPr>
      </w:pPr>
      <w:r>
        <w:rPr>
          <w:sz w:val="22"/>
        </w:rPr>
        <w:t>12.2</w:t>
      </w:r>
      <w:r>
        <w:rPr>
          <w:sz w:val="22"/>
        </w:rPr>
        <w:tab/>
        <w:t>Настоящий договор регулируется законодательством страны Бенефициара.</w:t>
      </w:r>
    </w:p>
    <w:p w:rsidR="005A519B" w:rsidRDefault="00BE05DC" w:rsidP="005A519B">
      <w:pPr>
        <w:tabs>
          <w:tab w:val="left" w:pos="1417"/>
          <w:tab w:val="left" w:pos="2126"/>
          <w:tab w:val="left" w:pos="2835"/>
        </w:tabs>
        <w:spacing w:after="120"/>
        <w:ind w:left="567" w:hanging="567"/>
        <w:rPr>
          <w:b/>
        </w:rPr>
      </w:pPr>
      <w:r>
        <w:rPr>
          <w:b/>
        </w:rPr>
        <w:t>Статья 13. Защита данных</w:t>
      </w:r>
    </w:p>
    <w:p w:rsidR="005A519B" w:rsidRDefault="0053008A" w:rsidP="005A519B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</w:pPr>
      <w:r>
        <w:t xml:space="preserve">13.1 Бенефициар принимает к сведению тот факт, что он/она является администратором персональных данных, передаваемых Аудитору для целей исполнения настоящего договора. Бенефициар поручает Аудитору обработку указанных персональных данных. </w:t>
      </w:r>
    </w:p>
    <w:p w:rsidR="005A519B" w:rsidRDefault="0053008A" w:rsidP="005A519B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</w:pPr>
      <w:r>
        <w:t>13.2 Аудитор ограничивает доступ к данным, переданным ему Бенефициаром, задействовав ровно столько персонала, сколько необходимо для выполнения, управления и мониторинга обязательств по договору, а также гарантирует, что данные лица приняли на себя обязательства по соблюдению конфиденциальности.</w:t>
      </w:r>
    </w:p>
    <w:p w:rsidR="0053008A" w:rsidRPr="00DD750D" w:rsidRDefault="0053008A" w:rsidP="005A519B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rFonts w:cs="Arial"/>
          <w:spacing w:val="4"/>
          <w:kern w:val="36"/>
        </w:rPr>
      </w:pPr>
      <w:r>
        <w:t xml:space="preserve">13.3 Аудитор принимает к сведению тот факт, что его/ее персональные данные будут обрабатываться органами, отвечающими на реализацию Программы, то есть Органом управления, Совместным техническим секретариатом и Контактным пунктом контроля. </w:t>
      </w:r>
      <w:r>
        <w:lastRenderedPageBreak/>
        <w:t xml:space="preserve">Обработка данных будет осуществляться в связи с проверкой отчетов о ходе реализации проекта, расчетами расходов, понесенных Бенефициаром, и проведением системных проверочных мероприятий. Администратор указанных персональных данных является министр по вопросам регионального развития в Польше, находящийся в Варшаве, ул. </w:t>
      </w:r>
      <w:proofErr w:type="spellStart"/>
      <w:r>
        <w:t>Вспульна</w:t>
      </w:r>
      <w:proofErr w:type="spellEnd"/>
      <w:r>
        <w:t xml:space="preserve"> 2/4, 00-926. Адрес электронной почты инспектора по защите данных: </w:t>
      </w:r>
      <w:hyperlink r:id="rId8" w:history="1">
        <w:r>
          <w:rPr>
            <w:rStyle w:val="Hipercze"/>
          </w:rPr>
          <w:t>iod@miir.gov.pl</w:t>
        </w:r>
      </w:hyperlink>
      <w:r>
        <w:t xml:space="preserve">. </w:t>
      </w:r>
    </w:p>
    <w:p w:rsidR="0053008A" w:rsidRPr="00DD750D" w:rsidRDefault="0053008A" w:rsidP="005A519B">
      <w:pPr>
        <w:keepNext/>
        <w:keepLines/>
        <w:tabs>
          <w:tab w:val="left" w:pos="567"/>
        </w:tabs>
        <w:spacing w:before="240" w:after="120"/>
        <w:ind w:left="567" w:hanging="567"/>
        <w:jc w:val="both"/>
      </w:pPr>
      <w:r>
        <w:tab/>
        <w:t xml:space="preserve">Аудитор имеет право получить доступ к своим данным, дополнить, обновить или исправить их. </w:t>
      </w:r>
    </w:p>
    <w:p w:rsidR="00EA42E9" w:rsidRPr="00DD750D" w:rsidRDefault="0053008A" w:rsidP="005A519B">
      <w:pPr>
        <w:keepNext/>
        <w:keepLines/>
        <w:tabs>
          <w:tab w:val="left" w:pos="567"/>
        </w:tabs>
        <w:spacing w:before="240" w:after="120"/>
        <w:ind w:left="567" w:hanging="567"/>
        <w:jc w:val="both"/>
        <w:rPr>
          <w:rFonts w:cs="Arial"/>
          <w:spacing w:val="4"/>
          <w:kern w:val="36"/>
          <w:sz w:val="22"/>
          <w:szCs w:val="22"/>
        </w:rPr>
      </w:pPr>
      <w:r>
        <w:t>13.4 Все вопросы, касающиеся обработки передаваемых персональных данных, подлежать урегулированию между сторонами в соответствии с правилами, действующими в данной стране</w:t>
      </w:r>
      <w:r w:rsidRPr="00DD750D">
        <w:rPr>
          <w:rStyle w:val="Odwoanieprzypisudolnego"/>
          <w:lang w:val="en-GB"/>
        </w:rPr>
        <w:footnoteReference w:id="6"/>
      </w:r>
      <w:r>
        <w:t>.</w:t>
      </w:r>
    </w:p>
    <w:p w:rsidR="00BE05DC" w:rsidRPr="00DD750D" w:rsidRDefault="00BE05DC" w:rsidP="00812509">
      <w:pPr>
        <w:keepNext/>
        <w:keepLines/>
        <w:tabs>
          <w:tab w:val="left" w:pos="567"/>
        </w:tabs>
        <w:spacing w:before="240" w:after="120"/>
        <w:ind w:left="567" w:hanging="567"/>
        <w:jc w:val="both"/>
        <w:rPr>
          <w:b/>
        </w:rPr>
      </w:pPr>
      <w:r>
        <w:rPr>
          <w:b/>
        </w:rPr>
        <w:t>Статья 14. Беспристрастность и конфиденциальность</w:t>
      </w:r>
    </w:p>
    <w:p w:rsidR="00605371" w:rsidRPr="00DD750D" w:rsidRDefault="001A7209" w:rsidP="001A7209">
      <w:pPr>
        <w:keepNext/>
        <w:keepLines/>
        <w:tabs>
          <w:tab w:val="left" w:pos="567"/>
        </w:tabs>
        <w:spacing w:before="240"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14,1. Аудитор и Бенефициар предпринимают все необходимые меры предосторожности, чтобы избежать конфликта интересов и обязаны незамедлительно информировать Контактный пункт контроля о любой ситуации, в которой имеет место или которая может привести к такому конфликту. </w:t>
      </w:r>
    </w:p>
    <w:p w:rsidR="002351DF" w:rsidRPr="00DD750D" w:rsidRDefault="002351DF" w:rsidP="002351DF">
      <w:pPr>
        <w:keepNext/>
        <w:keepLines/>
        <w:tabs>
          <w:tab w:val="left" w:pos="567"/>
        </w:tabs>
        <w:spacing w:before="240"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14.2 Аудитор обязан соблюдать правила беспристрастности и конфиденциальности, указанные в Руководстве по проверке расходов.</w:t>
      </w:r>
    </w:p>
    <w:p w:rsidR="00BE05DC" w:rsidRPr="00DD750D" w:rsidRDefault="001739C3" w:rsidP="00812509">
      <w:pPr>
        <w:keepNext/>
        <w:keepLines/>
        <w:tabs>
          <w:tab w:val="left" w:pos="567"/>
        </w:tabs>
        <w:spacing w:before="240" w:after="120"/>
        <w:jc w:val="both"/>
        <w:rPr>
          <w:b/>
        </w:rPr>
      </w:pPr>
      <w:r>
        <w:rPr>
          <w:b/>
          <w:sz w:val="22"/>
          <w:szCs w:val="22"/>
        </w:rPr>
        <w:t xml:space="preserve">Статья 15. </w:t>
      </w:r>
      <w:r>
        <w:rPr>
          <w:b/>
        </w:rPr>
        <w:t>Дополнительные положения договора</w:t>
      </w:r>
    </w:p>
    <w:p w:rsidR="00BE05DC" w:rsidRPr="00DD750D" w:rsidRDefault="00BE05DC" w:rsidP="00BE05DC">
      <w:pPr>
        <w:spacing w:before="240"/>
        <w:ind w:left="1417" w:hanging="1417"/>
        <w:rPr>
          <w:sz w:val="22"/>
          <w:szCs w:val="22"/>
        </w:rPr>
      </w:pPr>
      <w:r>
        <w:rPr>
          <w:sz w:val="22"/>
          <w:szCs w:val="22"/>
          <w:highlight w:val="yellow"/>
        </w:rPr>
        <w:t>&lt;Добавьте иные необходимые положения, например</w:t>
      </w:r>
      <w:r w:rsidR="00F96F3A">
        <w:rPr>
          <w:sz w:val="22"/>
          <w:szCs w:val="22"/>
          <w:highlight w:val="yellow"/>
          <w:lang w:val="pl-PL"/>
        </w:rPr>
        <w:t>,</w:t>
      </w:r>
      <w:r>
        <w:rPr>
          <w:sz w:val="22"/>
          <w:szCs w:val="22"/>
          <w:highlight w:val="yellow"/>
        </w:rPr>
        <w:t xml:space="preserve"> размеры неустоек.&gt;</w:t>
      </w:r>
    </w:p>
    <w:p w:rsidR="00BE05DC" w:rsidRPr="00166D78" w:rsidRDefault="00BE05DC" w:rsidP="00BE05DC"/>
    <w:p w:rsidR="00BE05DC" w:rsidRPr="00DD750D" w:rsidRDefault="00BE05DC" w:rsidP="004F510A">
      <w:pPr>
        <w:pStyle w:val="Listanumerowana"/>
        <w:numPr>
          <w:ilvl w:val="0"/>
          <w:numId w:val="0"/>
        </w:num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Составлен &lt;</w:t>
      </w:r>
      <w:r>
        <w:rPr>
          <w:rFonts w:ascii="Century Gothic" w:hAnsi="Century Gothic"/>
          <w:highlight w:val="yellow"/>
        </w:rPr>
        <w:t>ДД.ММ.ГГГГ</w:t>
      </w:r>
      <w:r>
        <w:rPr>
          <w:rFonts w:ascii="Century Gothic" w:hAnsi="Century Gothic"/>
        </w:rPr>
        <w:t>&gt; на русском языке в двух экземплярах.</w:t>
      </w:r>
    </w:p>
    <w:p w:rsidR="008A4F1D" w:rsidRDefault="008A4F1D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</w:rPr>
      </w:pPr>
    </w:p>
    <w:p w:rsidR="004F510A" w:rsidRPr="00DD750D" w:rsidRDefault="004F510A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</w:rPr>
      </w:pPr>
    </w:p>
    <w:p w:rsidR="006552A9" w:rsidRPr="00DD750D" w:rsidRDefault="007558FB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</w:rPr>
      </w:pPr>
      <w:r>
        <w:rPr>
          <w:rFonts w:ascii="Century Gothic" w:hAnsi="Century Gothic"/>
        </w:rPr>
        <w:t>ПРИЛОЖЕНИЯ &lt;</w:t>
      </w:r>
      <w:r w:rsidR="00F96F3A">
        <w:rPr>
          <w:rFonts w:ascii="Century Gothic" w:hAnsi="Century Gothic"/>
          <w:lang w:val="pl-PL"/>
        </w:rPr>
        <w:t>I - IV</w:t>
      </w:r>
      <w:r>
        <w:rPr>
          <w:rFonts w:ascii="Century Gothic" w:hAnsi="Century Gothic"/>
        </w:rPr>
        <w:t xml:space="preserve"> являются обязательными&gt;:</w:t>
      </w:r>
    </w:p>
    <w:p w:rsidR="00F32AD4" w:rsidRPr="00DD750D" w:rsidRDefault="007558FB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Приложение </w:t>
      </w:r>
      <w:r w:rsidR="00F96F3A">
        <w:rPr>
          <w:rFonts w:ascii="Century Gothic" w:hAnsi="Century Gothic"/>
          <w:sz w:val="22"/>
          <w:szCs w:val="22"/>
          <w:lang w:val="pl-PL"/>
        </w:rPr>
        <w:t>I</w:t>
      </w:r>
      <w:r>
        <w:rPr>
          <w:rFonts w:ascii="Century Gothic" w:hAnsi="Century Gothic"/>
          <w:sz w:val="22"/>
          <w:szCs w:val="22"/>
        </w:rPr>
        <w:t>. Грантовый контракт с приложениями</w:t>
      </w:r>
    </w:p>
    <w:p w:rsidR="00F32AD4" w:rsidRPr="00DD750D" w:rsidRDefault="00F32AD4" w:rsidP="00F32AD4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Приложение </w:t>
      </w:r>
      <w:r w:rsidR="00F96F3A">
        <w:rPr>
          <w:rFonts w:ascii="Century Gothic" w:hAnsi="Century Gothic"/>
          <w:sz w:val="22"/>
          <w:szCs w:val="22"/>
          <w:lang w:val="pl-PL"/>
        </w:rPr>
        <w:t>II</w:t>
      </w:r>
      <w:r>
        <w:rPr>
          <w:rFonts w:ascii="Century Gothic" w:hAnsi="Century Gothic"/>
          <w:sz w:val="22"/>
          <w:szCs w:val="22"/>
        </w:rPr>
        <w:t>. Программное руководство</w:t>
      </w:r>
    </w:p>
    <w:p w:rsidR="00F32AD4" w:rsidRPr="00DD750D" w:rsidRDefault="008A4F1D" w:rsidP="00F32AD4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Приложение </w:t>
      </w:r>
      <w:r w:rsidR="00F96F3A">
        <w:rPr>
          <w:rFonts w:ascii="Century Gothic" w:hAnsi="Century Gothic"/>
          <w:sz w:val="22"/>
          <w:szCs w:val="22"/>
          <w:lang w:val="pl-PL"/>
        </w:rPr>
        <w:t>III</w:t>
      </w:r>
      <w:r>
        <w:rPr>
          <w:rFonts w:ascii="Century Gothic" w:hAnsi="Century Gothic"/>
          <w:sz w:val="22"/>
          <w:szCs w:val="22"/>
        </w:rPr>
        <w:t>. Последняя версия Руководства по проверке расходов (с приложениями).</w:t>
      </w:r>
    </w:p>
    <w:p w:rsidR="00F127E7" w:rsidRPr="00DD750D" w:rsidRDefault="00322ED6" w:rsidP="00F32AD4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Приложение </w:t>
      </w:r>
      <w:r w:rsidR="00F96F3A">
        <w:rPr>
          <w:rFonts w:ascii="Century Gothic" w:hAnsi="Century Gothic"/>
          <w:sz w:val="22"/>
          <w:szCs w:val="22"/>
          <w:lang w:val="pl-PL"/>
        </w:rPr>
        <w:t>IV</w:t>
      </w:r>
      <w:r>
        <w:rPr>
          <w:rFonts w:ascii="Century Gothic" w:hAnsi="Century Gothic"/>
          <w:sz w:val="22"/>
          <w:szCs w:val="22"/>
        </w:rPr>
        <w:t>. Партнерское соглашение</w:t>
      </w:r>
    </w:p>
    <w:p w:rsidR="00794017" w:rsidRPr="00DD750D" w:rsidRDefault="00794017" w:rsidP="00794017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</w:rPr>
      </w:pPr>
      <w:r>
        <w:rPr>
          <w:rFonts w:ascii="Century Gothic" w:hAnsi="Century Gothic"/>
        </w:rPr>
        <w:t>Другие...</w:t>
      </w:r>
    </w:p>
    <w:p w:rsidR="00F32AD4" w:rsidRPr="00DD750D" w:rsidRDefault="00F32AD4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sz w:val="22"/>
          <w:szCs w:val="22"/>
        </w:rPr>
      </w:pPr>
    </w:p>
    <w:p w:rsidR="00BE05DC" w:rsidRPr="00DD750D" w:rsidRDefault="00BE05DC" w:rsidP="00794017">
      <w:pPr>
        <w:pStyle w:val="Listanumerowana"/>
        <w:numPr>
          <w:ilvl w:val="0"/>
          <w:numId w:val="0"/>
        </w:numPr>
        <w:spacing w:after="120"/>
        <w:rPr>
          <w:rFonts w:ascii="Century Gothic" w:hAnsi="Century Gothic"/>
        </w:rPr>
      </w:pPr>
    </w:p>
    <w:tbl>
      <w:tblPr>
        <w:tblW w:w="10037" w:type="dxa"/>
        <w:tblLayout w:type="fixed"/>
        <w:tblLook w:val="0000" w:firstRow="0" w:lastRow="0" w:firstColumn="0" w:lastColumn="0" w:noHBand="0" w:noVBand="0"/>
      </w:tblPr>
      <w:tblGrid>
        <w:gridCol w:w="1951"/>
        <w:gridCol w:w="2981"/>
        <w:gridCol w:w="1980"/>
        <w:gridCol w:w="3118"/>
        <w:gridCol w:w="7"/>
      </w:tblGrid>
      <w:tr w:rsidR="00BE05DC" w:rsidRPr="00DD750D" w:rsidTr="005A519B">
        <w:tc>
          <w:tcPr>
            <w:tcW w:w="4932" w:type="dxa"/>
            <w:gridSpan w:val="2"/>
          </w:tcPr>
          <w:p w:rsidR="00BE05DC" w:rsidRPr="005A519B" w:rsidRDefault="00EA2AD7" w:rsidP="00F7200B">
            <w:pPr>
              <w:pStyle w:val="Tekstpodstawowy"/>
              <w:keepNext/>
              <w:keepLines/>
              <w:rPr>
                <w:rFonts w:ascii="Century Gothic" w:hAnsi="Century Gothic"/>
                <w:b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Аудитор</w:t>
            </w:r>
            <w:r w:rsidR="005A519B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105" w:type="dxa"/>
            <w:gridSpan w:val="3"/>
          </w:tcPr>
          <w:p w:rsidR="00BE05DC" w:rsidRPr="005A519B" w:rsidRDefault="00BE05DC" w:rsidP="00F7200B">
            <w:pPr>
              <w:pStyle w:val="Tekstpodstawowy"/>
              <w:keepNext/>
              <w:keepLines/>
              <w:rPr>
                <w:rFonts w:ascii="Century Gothic" w:hAnsi="Century Gothic"/>
                <w:b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Бенефициар</w:t>
            </w:r>
            <w:r w:rsidR="005A519B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:</w:t>
            </w:r>
          </w:p>
        </w:tc>
      </w:tr>
      <w:tr w:rsidR="00BE05DC" w:rsidRPr="00DD750D" w:rsidTr="005A519B">
        <w:trPr>
          <w:gridAfter w:val="1"/>
          <w:wAfter w:w="7" w:type="dxa"/>
          <w:cantSplit/>
        </w:trPr>
        <w:tc>
          <w:tcPr>
            <w:tcW w:w="1951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Ф.И.О.:</w:t>
            </w:r>
          </w:p>
        </w:tc>
        <w:tc>
          <w:tcPr>
            <w:tcW w:w="2981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980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Ф.И.О.:</w:t>
            </w:r>
          </w:p>
        </w:tc>
        <w:tc>
          <w:tcPr>
            <w:tcW w:w="3118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tr w:rsidR="00BE05DC" w:rsidRPr="00DD750D" w:rsidTr="005A519B">
        <w:trPr>
          <w:gridAfter w:val="1"/>
          <w:wAfter w:w="7" w:type="dxa"/>
          <w:cantSplit/>
        </w:trPr>
        <w:tc>
          <w:tcPr>
            <w:tcW w:w="1951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2981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980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3118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tr w:rsidR="00BE05DC" w:rsidRPr="00DD750D" w:rsidTr="005A519B">
        <w:trPr>
          <w:gridAfter w:val="1"/>
          <w:wAfter w:w="7" w:type="dxa"/>
          <w:cantSplit/>
        </w:trPr>
        <w:tc>
          <w:tcPr>
            <w:tcW w:w="1951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Подпись:</w:t>
            </w:r>
          </w:p>
        </w:tc>
        <w:tc>
          <w:tcPr>
            <w:tcW w:w="2981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980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Подпись:</w:t>
            </w:r>
          </w:p>
        </w:tc>
        <w:tc>
          <w:tcPr>
            <w:tcW w:w="3118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tr w:rsidR="00BE05DC" w:rsidRPr="00DD750D" w:rsidTr="005A519B">
        <w:trPr>
          <w:gridAfter w:val="1"/>
          <w:wAfter w:w="7" w:type="dxa"/>
          <w:cantSplit/>
        </w:trPr>
        <w:tc>
          <w:tcPr>
            <w:tcW w:w="1951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Дата:</w:t>
            </w:r>
          </w:p>
        </w:tc>
        <w:tc>
          <w:tcPr>
            <w:tcW w:w="2981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980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Дата:</w:t>
            </w:r>
          </w:p>
        </w:tc>
        <w:tc>
          <w:tcPr>
            <w:tcW w:w="3118" w:type="dxa"/>
          </w:tcPr>
          <w:p w:rsidR="00BE05DC" w:rsidRPr="00DD750D" w:rsidRDefault="00BE05DC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bookmarkEnd w:id="1"/>
    </w:tbl>
    <w:p w:rsidR="00BE05DC" w:rsidRPr="00DD750D" w:rsidRDefault="00BE05DC" w:rsidP="00BE05DC">
      <w:pPr>
        <w:rPr>
          <w:lang w:val="en-GB"/>
        </w:rPr>
      </w:pPr>
    </w:p>
    <w:p w:rsidR="00BE05DC" w:rsidRPr="00DD750D" w:rsidRDefault="00BE05DC">
      <w:pPr>
        <w:rPr>
          <w:b/>
          <w:lang w:val="en-GB"/>
        </w:rPr>
      </w:pPr>
    </w:p>
    <w:sectPr w:rsidR="00BE05DC" w:rsidRPr="00DD750D" w:rsidSect="00EA2AD7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66" w:rsidRDefault="00D04D66" w:rsidP="00BE05DC">
      <w:r>
        <w:separator/>
      </w:r>
    </w:p>
  </w:endnote>
  <w:endnote w:type="continuationSeparator" w:id="0">
    <w:p w:rsidR="00D04D66" w:rsidRDefault="00D04D66" w:rsidP="00B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66" w:rsidRDefault="00D04D66" w:rsidP="00BE05DC">
      <w:r>
        <w:separator/>
      </w:r>
    </w:p>
  </w:footnote>
  <w:footnote w:type="continuationSeparator" w:id="0">
    <w:p w:rsidR="00D04D66" w:rsidRDefault="00D04D66" w:rsidP="00BE05DC">
      <w:r>
        <w:continuationSeparator/>
      </w:r>
    </w:p>
  </w:footnote>
  <w:footnote w:id="1">
    <w:p w:rsidR="003E0D2A" w:rsidRPr="005D75E6" w:rsidRDefault="003E0D2A" w:rsidP="005D75E6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>
        <w:rPr>
          <w:rStyle w:val="Odwoanieprzypisudolnego"/>
          <w:rFonts w:ascii="Century Gothic" w:hAnsi="Century Gothic"/>
          <w:sz w:val="16"/>
          <w:szCs w:val="16"/>
        </w:rPr>
        <w:footnoteRef/>
      </w:r>
      <w:r>
        <w:t>Должны соблюдаться условия, установленные для аудиторов в зависимости от происхождения бенефициара в части 1.3 Руководства по проверке расходов.</w:t>
      </w:r>
    </w:p>
  </w:footnote>
  <w:footnote w:id="2">
    <w:p w:rsidR="003E0D2A" w:rsidRPr="004A7733" w:rsidRDefault="003E0D2A" w:rsidP="004A7733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>
        <w:rPr>
          <w:rStyle w:val="Odwoanieprzypisudolnego"/>
          <w:rFonts w:ascii="Century Gothic" w:hAnsi="Century Gothic"/>
        </w:rPr>
        <w:footnoteRef/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Программное руководство, упоминаемое в грантовом контракте и обязательное для соответствующего конкурса проектных предложений.  </w:t>
      </w:r>
    </w:p>
  </w:footnote>
  <w:footnote w:id="3">
    <w:p w:rsidR="003E0D2A" w:rsidRPr="00DD750D" w:rsidRDefault="003E0D2A" w:rsidP="004A7733">
      <w:pPr>
        <w:autoSpaceDE w:val="0"/>
        <w:autoSpaceDN w:val="0"/>
        <w:adjustRightInd w:val="0"/>
        <w:jc w:val="both"/>
        <w:rPr>
          <w:rFonts w:eastAsia="TrebuchetMS" w:cs="TrebuchetMS"/>
          <w:color w:val="262626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Подтверждение соответствия документов, хранящихся на общепринятых информационных носителях, оригинальным документам осуществляется при соблюдении национального законодательства в данной сфере.</w:t>
      </w:r>
    </w:p>
  </w:footnote>
  <w:footnote w:id="4">
    <w:p w:rsidR="003E0D2A" w:rsidRPr="006B4F67" w:rsidRDefault="003E0D2A" w:rsidP="00985B82">
      <w:pPr>
        <w:pStyle w:val="Tekstprzypisudolnego"/>
      </w:pPr>
      <w:r>
        <w:rPr>
          <w:rStyle w:val="Odwoanieprzypisudolnego"/>
        </w:rPr>
        <w:footnoteRef/>
      </w:r>
      <w:r>
        <w:t xml:space="preserve"> Только в случае, если в стране создан список одобренных аудиторов</w:t>
      </w:r>
    </w:p>
  </w:footnote>
  <w:footnote w:id="5">
    <w:p w:rsidR="003E0D2A" w:rsidRPr="006B4F67" w:rsidRDefault="003E0D2A" w:rsidP="00236F3C">
      <w:pPr>
        <w:pStyle w:val="Tekstprzypisudolnego"/>
      </w:pPr>
      <w:r>
        <w:rPr>
          <w:rStyle w:val="Odwoanieprzypisudolnego"/>
        </w:rPr>
        <w:footnoteRef/>
      </w:r>
      <w:r>
        <w:t xml:space="preserve"> Только в случае, если в стране создан список одобренных аудиторов</w:t>
      </w:r>
    </w:p>
  </w:footnote>
  <w:footnote w:id="6">
    <w:p w:rsidR="003E0D2A" w:rsidRPr="0072365C" w:rsidRDefault="003E0D2A" w:rsidP="0053008A">
      <w:pPr>
        <w:pStyle w:val="Tekstprzypisudolnego"/>
      </w:pPr>
      <w:r>
        <w:rPr>
          <w:rStyle w:val="Odwoanieprzypisudolnego"/>
        </w:rPr>
        <w:footnoteRef/>
      </w:r>
      <w:r>
        <w:t xml:space="preserve"> В соответствии с Регламентом Европейского парламента и Совета ЕС (EU) 2016/679, </w:t>
      </w:r>
      <w:r>
        <w:rPr>
          <w:rStyle w:val="shorttext"/>
        </w:rPr>
        <w:t>именуемым далее GDPR или национальные правила в данной стране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98" w:rsidRDefault="00410C98" w:rsidP="00410C98">
    <w:pPr>
      <w:pStyle w:val="Nagwek"/>
      <w:jc w:val="center"/>
    </w:pPr>
    <w:r w:rsidRPr="00410C98">
      <w:rPr>
        <w:noProof/>
        <w:lang w:val="pl-PL" w:eastAsia="pl-PL"/>
      </w:rPr>
      <w:drawing>
        <wp:inline distT="0" distB="0" distL="0" distR="0">
          <wp:extent cx="2501900" cy="660400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11E"/>
    <w:multiLevelType w:val="hybridMultilevel"/>
    <w:tmpl w:val="7E52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376C1"/>
    <w:multiLevelType w:val="hybridMultilevel"/>
    <w:tmpl w:val="59EACB08"/>
    <w:lvl w:ilvl="0" w:tplc="9DC29BE8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F0DFC"/>
    <w:multiLevelType w:val="multilevel"/>
    <w:tmpl w:val="71B220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DA33EA"/>
    <w:multiLevelType w:val="hybridMultilevel"/>
    <w:tmpl w:val="89BA0BF2"/>
    <w:lvl w:ilvl="0" w:tplc="F4CE1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7E323E"/>
    <w:multiLevelType w:val="multilevel"/>
    <w:tmpl w:val="66F40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5725013"/>
    <w:multiLevelType w:val="hybridMultilevel"/>
    <w:tmpl w:val="A2A6348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730AA8"/>
    <w:multiLevelType w:val="hybridMultilevel"/>
    <w:tmpl w:val="1800F71E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8595B"/>
    <w:multiLevelType w:val="hybridMultilevel"/>
    <w:tmpl w:val="C35426FA"/>
    <w:lvl w:ilvl="0" w:tplc="04080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A1621"/>
    <w:multiLevelType w:val="hybridMultilevel"/>
    <w:tmpl w:val="A2A6348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15213F"/>
    <w:multiLevelType w:val="hybridMultilevel"/>
    <w:tmpl w:val="29AE5ED2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6EAA4B2A"/>
    <w:multiLevelType w:val="hybridMultilevel"/>
    <w:tmpl w:val="62B42B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1255DF"/>
    <w:multiLevelType w:val="hybridMultilevel"/>
    <w:tmpl w:val="A4303EDA"/>
    <w:lvl w:ilvl="0" w:tplc="74F4154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C5CFC"/>
    <w:multiLevelType w:val="multilevel"/>
    <w:tmpl w:val="E5CC7EE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5DC"/>
    <w:rsid w:val="000075EA"/>
    <w:rsid w:val="000214A3"/>
    <w:rsid w:val="00035444"/>
    <w:rsid w:val="0003796B"/>
    <w:rsid w:val="00040ED9"/>
    <w:rsid w:val="00057536"/>
    <w:rsid w:val="00064B59"/>
    <w:rsid w:val="00073AA8"/>
    <w:rsid w:val="0008462C"/>
    <w:rsid w:val="00086383"/>
    <w:rsid w:val="000904E1"/>
    <w:rsid w:val="000A5E0F"/>
    <w:rsid w:val="000B14B3"/>
    <w:rsid w:val="000B165C"/>
    <w:rsid w:val="000B5D30"/>
    <w:rsid w:val="000C1CBA"/>
    <w:rsid w:val="000C2303"/>
    <w:rsid w:val="000C2E30"/>
    <w:rsid w:val="000E44DC"/>
    <w:rsid w:val="000F1140"/>
    <w:rsid w:val="000F48E3"/>
    <w:rsid w:val="000F4FF3"/>
    <w:rsid w:val="0010538E"/>
    <w:rsid w:val="0011364B"/>
    <w:rsid w:val="001446F6"/>
    <w:rsid w:val="00145CF2"/>
    <w:rsid w:val="00146E25"/>
    <w:rsid w:val="001665CC"/>
    <w:rsid w:val="00166D78"/>
    <w:rsid w:val="00167EE7"/>
    <w:rsid w:val="00170BE1"/>
    <w:rsid w:val="001739C3"/>
    <w:rsid w:val="00175662"/>
    <w:rsid w:val="00180187"/>
    <w:rsid w:val="00182BC2"/>
    <w:rsid w:val="00190872"/>
    <w:rsid w:val="00190B16"/>
    <w:rsid w:val="001A1AA1"/>
    <w:rsid w:val="001A71FB"/>
    <w:rsid w:val="001A7209"/>
    <w:rsid w:val="001B4251"/>
    <w:rsid w:val="001B7FD8"/>
    <w:rsid w:val="001C5BAE"/>
    <w:rsid w:val="001E33A4"/>
    <w:rsid w:val="001E5DF8"/>
    <w:rsid w:val="001E657E"/>
    <w:rsid w:val="001F2260"/>
    <w:rsid w:val="002101FE"/>
    <w:rsid w:val="0021263C"/>
    <w:rsid w:val="002351DF"/>
    <w:rsid w:val="00236F3C"/>
    <w:rsid w:val="00243EE4"/>
    <w:rsid w:val="00253F06"/>
    <w:rsid w:val="00255103"/>
    <w:rsid w:val="00261285"/>
    <w:rsid w:val="002736F7"/>
    <w:rsid w:val="00284886"/>
    <w:rsid w:val="0028677B"/>
    <w:rsid w:val="002871E0"/>
    <w:rsid w:val="00290516"/>
    <w:rsid w:val="00290852"/>
    <w:rsid w:val="002919E1"/>
    <w:rsid w:val="00292507"/>
    <w:rsid w:val="002D2F5B"/>
    <w:rsid w:val="002E1B5B"/>
    <w:rsid w:val="002E468F"/>
    <w:rsid w:val="002E5BD4"/>
    <w:rsid w:val="002E6BB4"/>
    <w:rsid w:val="003038F8"/>
    <w:rsid w:val="003116F5"/>
    <w:rsid w:val="00311ADC"/>
    <w:rsid w:val="003166DC"/>
    <w:rsid w:val="00316DFE"/>
    <w:rsid w:val="003175E0"/>
    <w:rsid w:val="00322ED6"/>
    <w:rsid w:val="003269D1"/>
    <w:rsid w:val="00332266"/>
    <w:rsid w:val="00334104"/>
    <w:rsid w:val="003516D7"/>
    <w:rsid w:val="00355C1D"/>
    <w:rsid w:val="0035774F"/>
    <w:rsid w:val="003621CA"/>
    <w:rsid w:val="00396440"/>
    <w:rsid w:val="003A012F"/>
    <w:rsid w:val="003A757E"/>
    <w:rsid w:val="003B7C00"/>
    <w:rsid w:val="003C3290"/>
    <w:rsid w:val="003C74A9"/>
    <w:rsid w:val="003E0D2A"/>
    <w:rsid w:val="00400AA5"/>
    <w:rsid w:val="00410C98"/>
    <w:rsid w:val="00424AC6"/>
    <w:rsid w:val="00433503"/>
    <w:rsid w:val="004679CC"/>
    <w:rsid w:val="0047337F"/>
    <w:rsid w:val="00473F46"/>
    <w:rsid w:val="00487CDC"/>
    <w:rsid w:val="00490281"/>
    <w:rsid w:val="004A7733"/>
    <w:rsid w:val="004B2F78"/>
    <w:rsid w:val="004B4C89"/>
    <w:rsid w:val="004C1216"/>
    <w:rsid w:val="004D5209"/>
    <w:rsid w:val="004E1FD0"/>
    <w:rsid w:val="004E46CB"/>
    <w:rsid w:val="004F18E3"/>
    <w:rsid w:val="004F510A"/>
    <w:rsid w:val="005208DE"/>
    <w:rsid w:val="005215E0"/>
    <w:rsid w:val="0053008A"/>
    <w:rsid w:val="00556550"/>
    <w:rsid w:val="00560952"/>
    <w:rsid w:val="00561E33"/>
    <w:rsid w:val="00562025"/>
    <w:rsid w:val="00570345"/>
    <w:rsid w:val="00573626"/>
    <w:rsid w:val="00574AED"/>
    <w:rsid w:val="005752B6"/>
    <w:rsid w:val="00592647"/>
    <w:rsid w:val="005A519B"/>
    <w:rsid w:val="005A52AA"/>
    <w:rsid w:val="005B187C"/>
    <w:rsid w:val="005B39DB"/>
    <w:rsid w:val="005B3A85"/>
    <w:rsid w:val="005B43E7"/>
    <w:rsid w:val="005C0246"/>
    <w:rsid w:val="005C05E3"/>
    <w:rsid w:val="005D6116"/>
    <w:rsid w:val="005D6595"/>
    <w:rsid w:val="005D75E6"/>
    <w:rsid w:val="005F2EFE"/>
    <w:rsid w:val="005F4E33"/>
    <w:rsid w:val="00605371"/>
    <w:rsid w:val="006107CF"/>
    <w:rsid w:val="0061203E"/>
    <w:rsid w:val="00636E7F"/>
    <w:rsid w:val="006411D2"/>
    <w:rsid w:val="00644657"/>
    <w:rsid w:val="00654847"/>
    <w:rsid w:val="006552A9"/>
    <w:rsid w:val="006677FD"/>
    <w:rsid w:val="00671ABE"/>
    <w:rsid w:val="00677146"/>
    <w:rsid w:val="006869AF"/>
    <w:rsid w:val="006B2398"/>
    <w:rsid w:val="006C3DBE"/>
    <w:rsid w:val="006C65F5"/>
    <w:rsid w:val="006D43B2"/>
    <w:rsid w:val="006D44DF"/>
    <w:rsid w:val="006D49EB"/>
    <w:rsid w:val="006E201F"/>
    <w:rsid w:val="006E5454"/>
    <w:rsid w:val="006F5933"/>
    <w:rsid w:val="00704073"/>
    <w:rsid w:val="007558FB"/>
    <w:rsid w:val="0076030B"/>
    <w:rsid w:val="007612B6"/>
    <w:rsid w:val="0077272B"/>
    <w:rsid w:val="00794017"/>
    <w:rsid w:val="00795E6A"/>
    <w:rsid w:val="007D14D5"/>
    <w:rsid w:val="007D172F"/>
    <w:rsid w:val="007F7A3C"/>
    <w:rsid w:val="00801AA1"/>
    <w:rsid w:val="0080558D"/>
    <w:rsid w:val="0080687E"/>
    <w:rsid w:val="00812509"/>
    <w:rsid w:val="00821821"/>
    <w:rsid w:val="00836CE2"/>
    <w:rsid w:val="008436A6"/>
    <w:rsid w:val="0085108A"/>
    <w:rsid w:val="00876866"/>
    <w:rsid w:val="00877481"/>
    <w:rsid w:val="00877814"/>
    <w:rsid w:val="00880AF4"/>
    <w:rsid w:val="008A4F1D"/>
    <w:rsid w:val="008A6C32"/>
    <w:rsid w:val="008B13D0"/>
    <w:rsid w:val="008C3BDC"/>
    <w:rsid w:val="008C7470"/>
    <w:rsid w:val="008D3071"/>
    <w:rsid w:val="008E09D9"/>
    <w:rsid w:val="008E4EF3"/>
    <w:rsid w:val="008F4A2D"/>
    <w:rsid w:val="008F6CCA"/>
    <w:rsid w:val="00911325"/>
    <w:rsid w:val="0091688E"/>
    <w:rsid w:val="009215CC"/>
    <w:rsid w:val="00921A7D"/>
    <w:rsid w:val="009400AE"/>
    <w:rsid w:val="009438C2"/>
    <w:rsid w:val="0094699C"/>
    <w:rsid w:val="0096061C"/>
    <w:rsid w:val="00964C0E"/>
    <w:rsid w:val="009669CA"/>
    <w:rsid w:val="00981A38"/>
    <w:rsid w:val="00985B82"/>
    <w:rsid w:val="00990EBD"/>
    <w:rsid w:val="00993CCD"/>
    <w:rsid w:val="009970AF"/>
    <w:rsid w:val="00997A3B"/>
    <w:rsid w:val="009A4682"/>
    <w:rsid w:val="009B755F"/>
    <w:rsid w:val="009C19EF"/>
    <w:rsid w:val="009C3CD0"/>
    <w:rsid w:val="009D70FE"/>
    <w:rsid w:val="009E1613"/>
    <w:rsid w:val="009E7FFD"/>
    <w:rsid w:val="00A0797B"/>
    <w:rsid w:val="00A11D71"/>
    <w:rsid w:val="00A171BF"/>
    <w:rsid w:val="00A25665"/>
    <w:rsid w:val="00A31E9E"/>
    <w:rsid w:val="00A36A74"/>
    <w:rsid w:val="00A37A50"/>
    <w:rsid w:val="00A37F82"/>
    <w:rsid w:val="00A416CB"/>
    <w:rsid w:val="00A46CF3"/>
    <w:rsid w:val="00A63168"/>
    <w:rsid w:val="00A655C0"/>
    <w:rsid w:val="00A83288"/>
    <w:rsid w:val="00A83364"/>
    <w:rsid w:val="00A8562D"/>
    <w:rsid w:val="00AA187E"/>
    <w:rsid w:val="00AD66F2"/>
    <w:rsid w:val="00AE0787"/>
    <w:rsid w:val="00AE690C"/>
    <w:rsid w:val="00AF630A"/>
    <w:rsid w:val="00B05D21"/>
    <w:rsid w:val="00B10454"/>
    <w:rsid w:val="00B119C5"/>
    <w:rsid w:val="00B419A3"/>
    <w:rsid w:val="00B57514"/>
    <w:rsid w:val="00B600E1"/>
    <w:rsid w:val="00B609A1"/>
    <w:rsid w:val="00B6282C"/>
    <w:rsid w:val="00B70FA8"/>
    <w:rsid w:val="00B766A0"/>
    <w:rsid w:val="00B81404"/>
    <w:rsid w:val="00B82AEF"/>
    <w:rsid w:val="00BA2BDB"/>
    <w:rsid w:val="00BA3E02"/>
    <w:rsid w:val="00BA4E5D"/>
    <w:rsid w:val="00BB4A41"/>
    <w:rsid w:val="00BE05DC"/>
    <w:rsid w:val="00BE1F02"/>
    <w:rsid w:val="00BE4FD2"/>
    <w:rsid w:val="00BF36B9"/>
    <w:rsid w:val="00BF787C"/>
    <w:rsid w:val="00C017CA"/>
    <w:rsid w:val="00C0666F"/>
    <w:rsid w:val="00C067B9"/>
    <w:rsid w:val="00C117E9"/>
    <w:rsid w:val="00C1387D"/>
    <w:rsid w:val="00C176BE"/>
    <w:rsid w:val="00C26543"/>
    <w:rsid w:val="00C26719"/>
    <w:rsid w:val="00C3598A"/>
    <w:rsid w:val="00C4275B"/>
    <w:rsid w:val="00C452CA"/>
    <w:rsid w:val="00C5292B"/>
    <w:rsid w:val="00C62959"/>
    <w:rsid w:val="00C70C73"/>
    <w:rsid w:val="00C735E5"/>
    <w:rsid w:val="00C77A66"/>
    <w:rsid w:val="00C82D21"/>
    <w:rsid w:val="00C85533"/>
    <w:rsid w:val="00C9705E"/>
    <w:rsid w:val="00CA2ACF"/>
    <w:rsid w:val="00CA49E5"/>
    <w:rsid w:val="00CA762A"/>
    <w:rsid w:val="00CB3213"/>
    <w:rsid w:val="00CC032D"/>
    <w:rsid w:val="00CC2954"/>
    <w:rsid w:val="00CD1049"/>
    <w:rsid w:val="00CD1F4A"/>
    <w:rsid w:val="00CF0E92"/>
    <w:rsid w:val="00CF2EA3"/>
    <w:rsid w:val="00CF7207"/>
    <w:rsid w:val="00D04D66"/>
    <w:rsid w:val="00D06E52"/>
    <w:rsid w:val="00D1300E"/>
    <w:rsid w:val="00D17B7C"/>
    <w:rsid w:val="00D20836"/>
    <w:rsid w:val="00D21AE6"/>
    <w:rsid w:val="00D27B97"/>
    <w:rsid w:val="00D46479"/>
    <w:rsid w:val="00D645C4"/>
    <w:rsid w:val="00D7170B"/>
    <w:rsid w:val="00D80504"/>
    <w:rsid w:val="00D873DE"/>
    <w:rsid w:val="00DA018D"/>
    <w:rsid w:val="00DC0853"/>
    <w:rsid w:val="00DD750D"/>
    <w:rsid w:val="00DF47C5"/>
    <w:rsid w:val="00E101E8"/>
    <w:rsid w:val="00E12D28"/>
    <w:rsid w:val="00E21B61"/>
    <w:rsid w:val="00E334F0"/>
    <w:rsid w:val="00E37DA6"/>
    <w:rsid w:val="00E42BBB"/>
    <w:rsid w:val="00E53286"/>
    <w:rsid w:val="00E57566"/>
    <w:rsid w:val="00E83368"/>
    <w:rsid w:val="00E845A3"/>
    <w:rsid w:val="00E84EEE"/>
    <w:rsid w:val="00E92652"/>
    <w:rsid w:val="00EA2368"/>
    <w:rsid w:val="00EA2AD7"/>
    <w:rsid w:val="00EA2C47"/>
    <w:rsid w:val="00EA42E9"/>
    <w:rsid w:val="00EA55F3"/>
    <w:rsid w:val="00EB3DB8"/>
    <w:rsid w:val="00EC5EC7"/>
    <w:rsid w:val="00ED359B"/>
    <w:rsid w:val="00EE011B"/>
    <w:rsid w:val="00EE6E25"/>
    <w:rsid w:val="00EE7D21"/>
    <w:rsid w:val="00F03292"/>
    <w:rsid w:val="00F127E7"/>
    <w:rsid w:val="00F12C0F"/>
    <w:rsid w:val="00F228EF"/>
    <w:rsid w:val="00F22E2B"/>
    <w:rsid w:val="00F23DD7"/>
    <w:rsid w:val="00F32AD4"/>
    <w:rsid w:val="00F349DF"/>
    <w:rsid w:val="00F4284F"/>
    <w:rsid w:val="00F44A07"/>
    <w:rsid w:val="00F47075"/>
    <w:rsid w:val="00F479CC"/>
    <w:rsid w:val="00F56CB3"/>
    <w:rsid w:val="00F62686"/>
    <w:rsid w:val="00F71ACC"/>
    <w:rsid w:val="00F7200B"/>
    <w:rsid w:val="00F80F81"/>
    <w:rsid w:val="00F828F6"/>
    <w:rsid w:val="00F903EF"/>
    <w:rsid w:val="00F90CCB"/>
    <w:rsid w:val="00F96F3A"/>
    <w:rsid w:val="00FB0C49"/>
    <w:rsid w:val="00FB1A93"/>
    <w:rsid w:val="00FB510C"/>
    <w:rsid w:val="00FC10CA"/>
    <w:rsid w:val="00FD1C06"/>
    <w:rsid w:val="00FD287D"/>
    <w:rsid w:val="00FD77D0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CE2D3-C540-4913-B644-AE12CE16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5DC"/>
    <w:pPr>
      <w:spacing w:after="0" w:line="240" w:lineRule="auto"/>
    </w:pPr>
    <w:rPr>
      <w:rFonts w:ascii="Century Gothic" w:hAnsi="Century Gothic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5DC"/>
    <w:pPr>
      <w:keepNext/>
      <w:keepLines/>
      <w:spacing w:before="240"/>
      <w:outlineLvl w:val="0"/>
    </w:pPr>
    <w:rPr>
      <w:rFonts w:eastAsiaTheme="majorEastAsia" w:cstheme="majorBidi"/>
      <w:color w:val="76287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5DC"/>
    <w:pPr>
      <w:keepNext/>
      <w:keepLines/>
      <w:spacing w:before="200"/>
      <w:outlineLvl w:val="2"/>
    </w:pPr>
    <w:rPr>
      <w:rFonts w:eastAsiaTheme="majorEastAsia" w:cstheme="majorBidi"/>
      <w:bCs/>
      <w:color w:val="7030A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5DC"/>
    <w:rPr>
      <w:rFonts w:ascii="Century Gothic" w:eastAsiaTheme="majorEastAsia" w:hAnsi="Century Gothic" w:cstheme="majorBidi"/>
      <w:color w:val="762870"/>
      <w:sz w:val="32"/>
      <w:szCs w:val="32"/>
      <w:lang w:val="ru-RU"/>
    </w:rPr>
  </w:style>
  <w:style w:type="character" w:customStyle="1" w:styleId="Nagwek3Znak">
    <w:name w:val="Nagłówek 3 Znak"/>
    <w:basedOn w:val="Domylnaczcionkaakapitu"/>
    <w:link w:val="Nagwek3"/>
    <w:uiPriority w:val="9"/>
    <w:rsid w:val="00BE05DC"/>
    <w:rPr>
      <w:rFonts w:ascii="Century Gothic" w:eastAsiaTheme="majorEastAsia" w:hAnsi="Century Gothic" w:cstheme="majorBidi"/>
      <w:bCs/>
      <w:color w:val="7030A0"/>
      <w:szCs w:val="24"/>
      <w:lang w:val="ru-RU"/>
    </w:rPr>
  </w:style>
  <w:style w:type="paragraph" w:styleId="Akapitzlist">
    <w:name w:val="List Paragraph"/>
    <w:aliases w:val="2 heading"/>
    <w:basedOn w:val="Normalny"/>
    <w:link w:val="AkapitzlistZnak"/>
    <w:uiPriority w:val="34"/>
    <w:qFormat/>
    <w:rsid w:val="00BE05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05DC"/>
    <w:rPr>
      <w:rFonts w:ascii="Calibri" w:eastAsia="MS Mincho" w:hAnsi="Calibri" w:cs="Times New Roman"/>
      <w:sz w:val="20"/>
      <w:szCs w:val="20"/>
      <w:lang w:eastAsia="es-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05DC"/>
    <w:rPr>
      <w:rFonts w:ascii="Calibri" w:eastAsia="MS Mincho" w:hAnsi="Calibri" w:cs="Times New Roman"/>
      <w:sz w:val="20"/>
      <w:szCs w:val="20"/>
      <w:lang w:val="ru-RU" w:eastAsia="es-ES"/>
    </w:rPr>
  </w:style>
  <w:style w:type="character" w:styleId="Odwoanieprzypisudolnego">
    <w:name w:val="footnote reference"/>
    <w:basedOn w:val="Domylnaczcionkaakapitu"/>
    <w:uiPriority w:val="99"/>
    <w:unhideWhenUsed/>
    <w:rsid w:val="00BE05DC"/>
    <w:rPr>
      <w:vertAlign w:val="superscript"/>
    </w:rPr>
  </w:style>
  <w:style w:type="character" w:customStyle="1" w:styleId="AkapitzlistZnak">
    <w:name w:val="Akapit z listą Znak"/>
    <w:aliases w:val="2 heading Znak"/>
    <w:link w:val="Akapitzlist"/>
    <w:uiPriority w:val="99"/>
    <w:locked/>
    <w:rsid w:val="00BE05DC"/>
    <w:rPr>
      <w:rFonts w:ascii="Century Gothic" w:hAnsi="Century Gothic"/>
      <w:sz w:val="24"/>
      <w:szCs w:val="24"/>
      <w:lang w:val="ru-RU"/>
    </w:rPr>
  </w:style>
  <w:style w:type="paragraph" w:styleId="Tekstpodstawowy">
    <w:name w:val="Body Text"/>
    <w:basedOn w:val="Normalny"/>
    <w:link w:val="TekstpodstawowyZnak"/>
    <w:rsid w:val="00BE05DC"/>
    <w:pPr>
      <w:spacing w:after="120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BE05DC"/>
    <w:rPr>
      <w:rFonts w:ascii="Times New Roman" w:eastAsia="Times New Roman" w:hAnsi="Times New Roman" w:cs="Times New Roman"/>
      <w:sz w:val="24"/>
      <w:szCs w:val="20"/>
      <w:lang w:val="ru-RU" w:eastAsia="en-GB"/>
    </w:rPr>
  </w:style>
  <w:style w:type="paragraph" w:styleId="Listanumerowana">
    <w:name w:val="List Number"/>
    <w:basedOn w:val="Normalny"/>
    <w:rsid w:val="00BE05DC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NumberLevel2">
    <w:name w:val="List Number (Level 2)"/>
    <w:basedOn w:val="Normalny"/>
    <w:rsid w:val="00BE05DC"/>
    <w:pPr>
      <w:numPr>
        <w:ilvl w:val="1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NumberLevel3">
    <w:name w:val="List Number (Level 3)"/>
    <w:basedOn w:val="Normalny"/>
    <w:rsid w:val="00BE05DC"/>
    <w:pPr>
      <w:numPr>
        <w:ilvl w:val="2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NumberLevel4">
    <w:name w:val="List Number (Level 4)"/>
    <w:basedOn w:val="Normalny"/>
    <w:rsid w:val="00BE05DC"/>
    <w:pPr>
      <w:numPr>
        <w:ilvl w:val="3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tyleListNumber11ptBold">
    <w:name w:val="Style List Number + 11 pt Bold"/>
    <w:basedOn w:val="Listanumerowana"/>
    <w:autoRedefine/>
    <w:rsid w:val="00BE05DC"/>
    <w:pPr>
      <w:numPr>
        <w:numId w:val="0"/>
      </w:numPr>
      <w:spacing w:before="240" w:after="120"/>
      <w:ind w:left="567" w:hanging="567"/>
    </w:pPr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A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AA5"/>
    <w:rPr>
      <w:rFonts w:ascii="Century Gothic" w:hAnsi="Century Gothic"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AA5"/>
    <w:rPr>
      <w:rFonts w:ascii="Century Gothic" w:hAnsi="Century Gothic"/>
      <w:b/>
      <w:bCs/>
      <w:sz w:val="20"/>
      <w:szCs w:val="20"/>
      <w:lang w:val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A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AA5"/>
    <w:rPr>
      <w:rFonts w:ascii="Tahoma" w:hAnsi="Tahoma" w:cs="Tahoma"/>
      <w:sz w:val="16"/>
      <w:szCs w:val="16"/>
      <w:lang w:val="ru-RU"/>
    </w:rPr>
  </w:style>
  <w:style w:type="paragraph" w:styleId="Nagwek">
    <w:name w:val="header"/>
    <w:basedOn w:val="Normalny"/>
    <w:link w:val="NagwekZnak"/>
    <w:uiPriority w:val="99"/>
    <w:semiHidden/>
    <w:unhideWhenUsed/>
    <w:rsid w:val="00530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08A"/>
    <w:rPr>
      <w:rFonts w:ascii="Century Gothic" w:hAnsi="Century Gothic"/>
      <w:sz w:val="24"/>
      <w:szCs w:val="24"/>
      <w:lang w:val="ru-RU"/>
    </w:rPr>
  </w:style>
  <w:style w:type="paragraph" w:styleId="Stopka">
    <w:name w:val="footer"/>
    <w:basedOn w:val="Normalny"/>
    <w:link w:val="StopkaZnak"/>
    <w:uiPriority w:val="99"/>
    <w:semiHidden/>
    <w:unhideWhenUsed/>
    <w:rsid w:val="00530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08A"/>
    <w:rPr>
      <w:rFonts w:ascii="Century Gothic" w:hAnsi="Century Gothic"/>
      <w:sz w:val="24"/>
      <w:szCs w:val="24"/>
      <w:lang w:val="ru-RU"/>
    </w:rPr>
  </w:style>
  <w:style w:type="character" w:customStyle="1" w:styleId="shorttext">
    <w:name w:val="short_text"/>
    <w:basedOn w:val="Domylnaczcionkaakapitu"/>
    <w:rsid w:val="0053008A"/>
  </w:style>
  <w:style w:type="character" w:styleId="Hipercze">
    <w:name w:val="Hyperlink"/>
    <w:basedOn w:val="Domylnaczcionkaakapitu"/>
    <w:uiPriority w:val="99"/>
    <w:unhideWhenUsed/>
    <w:rsid w:val="0053008A"/>
    <w:rPr>
      <w:color w:val="0000FF" w:themeColor="hyperlink"/>
      <w:u w:val="single"/>
    </w:rPr>
  </w:style>
  <w:style w:type="paragraph" w:customStyle="1" w:styleId="Default">
    <w:name w:val="Default"/>
    <w:rsid w:val="00A856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5E0"/>
    <w:pPr>
      <w:spacing w:after="0" w:line="240" w:lineRule="auto"/>
    </w:pPr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6015-BB35-41B0-8443-83D48822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1985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szymon_denis</dc:creator>
  <cp:lastModifiedBy>Lolita Gedo</cp:lastModifiedBy>
  <cp:revision>10</cp:revision>
  <dcterms:created xsi:type="dcterms:W3CDTF">2019-01-30T09:25:00Z</dcterms:created>
  <dcterms:modified xsi:type="dcterms:W3CDTF">2019-03-29T13:48:00Z</dcterms:modified>
</cp:coreProperties>
</file>