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5F1E6" w14:textId="77777777" w:rsidR="004A0A2A" w:rsidRDefault="004A0A2A">
      <w:pPr>
        <w:jc w:val="center"/>
        <w:rPr>
          <w:b/>
          <w:bCs/>
          <w:iCs/>
          <w:sz w:val="30"/>
          <w:lang w:val="en-GB"/>
        </w:rPr>
      </w:pPr>
    </w:p>
    <w:p w14:paraId="421DBACE" w14:textId="77777777" w:rsidR="004A0A2A" w:rsidRDefault="0039484F">
      <w:pPr>
        <w:jc w:val="center"/>
        <w:rPr>
          <w:b/>
          <w:bCs/>
          <w:iCs/>
          <w:sz w:val="30"/>
          <w:lang w:val="en-GB"/>
        </w:rPr>
      </w:pPr>
      <w:r>
        <w:rPr>
          <w:b/>
          <w:bCs/>
          <w:iCs/>
          <w:sz w:val="30"/>
          <w:lang w:val="en-GB"/>
        </w:rPr>
        <w:t>Checklist for Procurements Control for the Ukrainian non-public Beneficiaries</w:t>
      </w: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11056"/>
      </w:tblGrid>
      <w:tr w:rsidR="004A0A2A" w:rsidRPr="0039484F" w14:paraId="6127AB42" w14:textId="77777777">
        <w:tc>
          <w:tcPr>
            <w:tcW w:w="11056" w:type="dxa"/>
            <w:shd w:val="clear" w:color="auto" w:fill="F2F2F2" w:themeFill="background1" w:themeFillShade="F2"/>
          </w:tcPr>
          <w:p w14:paraId="099437CC" w14:textId="77777777" w:rsidR="004A0A2A" w:rsidRDefault="0039484F">
            <w:pPr>
              <w:jc w:val="center"/>
              <w:rPr>
                <w:b/>
                <w:bCs/>
                <w:i/>
                <w:sz w:val="18"/>
                <w:szCs w:val="12"/>
                <w:lang w:val="en-GB"/>
              </w:rPr>
            </w:pPr>
            <w:r>
              <w:rPr>
                <w:b/>
                <w:bCs/>
                <w:i/>
                <w:sz w:val="18"/>
                <w:szCs w:val="12"/>
                <w:lang w:val="en-GB"/>
              </w:rPr>
              <w:t>Non-public Beneficiaries based in Ukraine have to comply with the requirements of p. 6.4.3 of the Programme Manual – part 1 and</w:t>
            </w:r>
          </w:p>
          <w:p w14:paraId="162D411D" w14:textId="77777777" w:rsidR="004A0A2A" w:rsidRDefault="0039484F">
            <w:pPr>
              <w:jc w:val="center"/>
              <w:rPr>
                <w:b/>
                <w:bCs/>
                <w:i/>
                <w:sz w:val="18"/>
                <w:szCs w:val="12"/>
                <w:lang w:val="en-GB"/>
              </w:rPr>
            </w:pPr>
            <w:r>
              <w:rPr>
                <w:b/>
                <w:bCs/>
                <w:i/>
                <w:sz w:val="18"/>
                <w:szCs w:val="12"/>
                <w:lang w:val="en-GB"/>
              </w:rPr>
              <w:t>Annex X to this Manual – General Rules of Procurement by Beneficiaries within the Projects (hereinafter - General Rules)</w:t>
            </w:r>
          </w:p>
        </w:tc>
      </w:tr>
    </w:tbl>
    <w:p w14:paraId="49E1E5E2" w14:textId="77777777" w:rsidR="004A0A2A" w:rsidRDefault="004A0A2A">
      <w:pPr>
        <w:jc w:val="center"/>
        <w:rPr>
          <w:b/>
          <w:bCs/>
          <w:iCs/>
          <w:sz w:val="14"/>
          <w:szCs w:val="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9888"/>
      </w:tblGrid>
      <w:tr w:rsidR="004A0A2A" w14:paraId="176EBC5F" w14:textId="77777777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7A3CDFF2" w14:textId="77777777" w:rsidR="004A0A2A" w:rsidRDefault="0039484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Project number: </w:t>
            </w:r>
          </w:p>
        </w:tc>
        <w:tc>
          <w:tcPr>
            <w:tcW w:w="9888" w:type="dxa"/>
          </w:tcPr>
          <w:p w14:paraId="0C6846BF" w14:textId="77777777" w:rsidR="004A0A2A" w:rsidRDefault="004A0A2A">
            <w:pPr>
              <w:rPr>
                <w:lang w:val="en-GB"/>
              </w:rPr>
            </w:pPr>
          </w:p>
        </w:tc>
      </w:tr>
      <w:tr w:rsidR="004A0A2A" w14:paraId="5E47DBC0" w14:textId="77777777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0E3D37B8" w14:textId="77777777" w:rsidR="004A0A2A" w:rsidRDefault="0039484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Contractor:</w:t>
            </w:r>
          </w:p>
        </w:tc>
        <w:tc>
          <w:tcPr>
            <w:tcW w:w="9888" w:type="dxa"/>
          </w:tcPr>
          <w:p w14:paraId="5D8F51F4" w14:textId="77777777" w:rsidR="004A0A2A" w:rsidRDefault="004A0A2A">
            <w:pPr>
              <w:rPr>
                <w:lang w:val="en-GB"/>
              </w:rPr>
            </w:pPr>
          </w:p>
        </w:tc>
      </w:tr>
      <w:tr w:rsidR="004A0A2A" w14:paraId="684B648F" w14:textId="77777777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05C633FD" w14:textId="77777777" w:rsidR="004A0A2A" w:rsidRDefault="0039484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Contractor's address: </w:t>
            </w:r>
          </w:p>
        </w:tc>
        <w:tc>
          <w:tcPr>
            <w:tcW w:w="9888" w:type="dxa"/>
          </w:tcPr>
          <w:p w14:paraId="1FC51F38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1E70CC10" w14:textId="77777777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2F5DAB26" w14:textId="77777777" w:rsidR="004A0A2A" w:rsidRDefault="0039484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Name of purchase, budget line in budget of the project </w:t>
            </w:r>
          </w:p>
        </w:tc>
        <w:tc>
          <w:tcPr>
            <w:tcW w:w="9888" w:type="dxa"/>
          </w:tcPr>
          <w:p w14:paraId="377BAB8B" w14:textId="77777777" w:rsidR="004A0A2A" w:rsidRDefault="004A0A2A">
            <w:pPr>
              <w:rPr>
                <w:lang w:val="en-GB"/>
              </w:rPr>
            </w:pPr>
          </w:p>
        </w:tc>
      </w:tr>
      <w:tr w:rsidR="004A0A2A" w14:paraId="1C9D1AD6" w14:textId="77777777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6851501C" w14:textId="77777777" w:rsidR="004A0A2A" w:rsidRDefault="0039484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Type of order: </w:t>
            </w:r>
          </w:p>
        </w:tc>
        <w:tc>
          <w:tcPr>
            <w:tcW w:w="9888" w:type="dxa"/>
          </w:tcPr>
          <w:p w14:paraId="127B3B42" w14:textId="77777777" w:rsidR="004A0A2A" w:rsidRDefault="0039484F">
            <w:pPr>
              <w:rPr>
                <w:lang w:val="en-GB"/>
              </w:rPr>
            </w:pPr>
            <w:fldSimple w:instr=" FORMCHECKBOX "/>
            <w:r>
              <w:rPr>
                <w:rFonts w:cs="Arial"/>
                <w:lang w:val="en-GB"/>
              </w:rPr>
              <w:t xml:space="preserve"> </w:t>
            </w:r>
            <w:r>
              <w:rPr>
                <w:i/>
                <w:iCs/>
                <w:lang w:val="en-GB"/>
              </w:rPr>
              <w:t xml:space="preserve">service           </w:t>
            </w:r>
            <w:fldSimple w:instr=" FORMCHECKBOX "/>
            <w:r>
              <w:rPr>
                <w:rFonts w:cs="Arial"/>
                <w:i/>
                <w:iCs/>
                <w:lang w:val="en-GB"/>
              </w:rPr>
              <w:t xml:space="preserve"> </w:t>
            </w:r>
            <w:r>
              <w:rPr>
                <w:i/>
                <w:iCs/>
                <w:lang w:val="en-GB"/>
              </w:rPr>
              <w:t xml:space="preserve">goods         </w:t>
            </w:r>
            <w:fldSimple w:instr=" FORMCHECKBOX "/>
            <w:r>
              <w:rPr>
                <w:rFonts w:cs="Arial"/>
                <w:i/>
                <w:iCs/>
                <w:lang w:val="en-GB"/>
              </w:rPr>
              <w:t xml:space="preserve"> </w:t>
            </w:r>
            <w:r>
              <w:rPr>
                <w:i/>
                <w:iCs/>
                <w:lang w:val="en-GB"/>
              </w:rPr>
              <w:t>construction works</w:t>
            </w:r>
          </w:p>
        </w:tc>
      </w:tr>
      <w:tr w:rsidR="004A0A2A" w:rsidRPr="0039484F" w14:paraId="54FA3304" w14:textId="77777777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521B3EA3" w14:textId="77777777" w:rsidR="004A0A2A" w:rsidRDefault="0039484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Estimated order value in EUR: </w:t>
            </w:r>
          </w:p>
        </w:tc>
        <w:tc>
          <w:tcPr>
            <w:tcW w:w="9888" w:type="dxa"/>
          </w:tcPr>
          <w:p w14:paraId="7A3EC436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1748BC43" w14:textId="77777777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1D8413C5" w14:textId="77777777" w:rsidR="004A0A2A" w:rsidRDefault="0039484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Name of procedure applied: </w:t>
            </w:r>
          </w:p>
        </w:tc>
        <w:tc>
          <w:tcPr>
            <w:tcW w:w="9888" w:type="dxa"/>
          </w:tcPr>
          <w:p w14:paraId="6EF734F2" w14:textId="77777777" w:rsidR="004A0A2A" w:rsidRDefault="0039484F">
            <w:pPr>
              <w:spacing w:before="120" w:after="120"/>
              <w:rPr>
                <w:lang w:val="en-GB"/>
              </w:rPr>
            </w:pPr>
            <w:r>
              <w:fldChar w:fldCharType="begin"/>
            </w:r>
            <w:r w:rsidRPr="0039484F">
              <w:rPr>
                <w:lang w:val="en-US"/>
              </w:rPr>
              <w:instrText xml:space="preserve"> FORMCHECKBOX </w:instrText>
            </w:r>
            <w:r w:rsidR="007750BA">
              <w:fldChar w:fldCharType="separate"/>
            </w:r>
            <w:r>
              <w:fldChar w:fldCharType="end"/>
            </w:r>
            <w:r>
              <w:rPr>
                <w:rFonts w:cs="Arial"/>
                <w:lang w:val="en-GB"/>
              </w:rPr>
              <w:t xml:space="preserve"> </w:t>
            </w:r>
            <w:r>
              <w:rPr>
                <w:lang w:val="en-GB"/>
              </w:rPr>
              <w:t xml:space="preserve">Single tender </w:t>
            </w:r>
            <w:r>
              <w:fldChar w:fldCharType="begin"/>
            </w:r>
            <w:r w:rsidRPr="0039484F">
              <w:rPr>
                <w:lang w:val="en-US"/>
              </w:rPr>
              <w:instrText xml:space="preserve"> FORMCHECKBOX </w:instrText>
            </w:r>
            <w:r w:rsidR="007750BA">
              <w:fldChar w:fldCharType="separate"/>
            </w:r>
            <w:r>
              <w:fldChar w:fldCharType="end"/>
            </w:r>
            <w:r>
              <w:rPr>
                <w:rFonts w:cs="Arial"/>
                <w:lang w:val="en-GB"/>
              </w:rPr>
              <w:t xml:space="preserve"> </w:t>
            </w:r>
            <w:r>
              <w:rPr>
                <w:lang w:val="en-GB"/>
              </w:rPr>
              <w:t xml:space="preserve">Competitive negotiated procedure without publication </w:t>
            </w:r>
          </w:p>
          <w:p w14:paraId="1CB71397" w14:textId="77777777" w:rsidR="004A0A2A" w:rsidRDefault="0039484F">
            <w:pPr>
              <w:spacing w:before="120" w:after="120"/>
              <w:rPr>
                <w:lang w:val="en-GB"/>
              </w:rPr>
            </w:pPr>
            <w:r>
              <w:fldChar w:fldCharType="begin"/>
            </w:r>
            <w:r w:rsidRPr="0039484F">
              <w:rPr>
                <w:lang w:val="en-US"/>
              </w:rPr>
              <w:instrText xml:space="preserve"> FORMCHECKBOX </w:instrText>
            </w:r>
            <w:r w:rsidR="007750BA">
              <w:fldChar w:fldCharType="separate"/>
            </w:r>
            <w:r>
              <w:fldChar w:fldCharType="end"/>
            </w:r>
            <w:r>
              <w:rPr>
                <w:rFonts w:cs="Arial"/>
                <w:lang w:val="en-GB"/>
              </w:rPr>
              <w:t xml:space="preserve"> </w:t>
            </w:r>
            <w:r>
              <w:rPr>
                <w:lang w:val="en-GB"/>
              </w:rPr>
              <w:t>Open tender procedure published in the Programme area</w:t>
            </w:r>
          </w:p>
          <w:p w14:paraId="36773C15" w14:textId="77777777" w:rsidR="004A0A2A" w:rsidRDefault="0039484F">
            <w:pPr>
              <w:spacing w:before="120" w:after="120"/>
              <w:rPr>
                <w:lang w:val="en-GB"/>
              </w:rPr>
            </w:pPr>
            <w:r>
              <w:fldChar w:fldCharType="begin"/>
            </w:r>
            <w:r w:rsidRPr="0039484F">
              <w:rPr>
                <w:lang w:val="en-US"/>
              </w:rPr>
              <w:instrText xml:space="preserve"> FORMCHECKBOX </w:instrText>
            </w:r>
            <w:r w:rsidR="007750BA">
              <w:fldChar w:fldCharType="separate"/>
            </w:r>
            <w:r>
              <w:fldChar w:fldCharType="end"/>
            </w:r>
            <w:r>
              <w:rPr>
                <w:rFonts w:cs="Arial"/>
                <w:lang w:val="en-GB"/>
              </w:rPr>
              <w:t xml:space="preserve"> </w:t>
            </w:r>
            <w:r>
              <w:rPr>
                <w:lang w:val="en-GB"/>
              </w:rPr>
              <w:t xml:space="preserve">International open tender procedure      </w:t>
            </w:r>
            <w:r>
              <w:fldChar w:fldCharType="begin"/>
            </w:r>
            <w:r w:rsidRPr="0039484F">
              <w:rPr>
                <w:lang w:val="en-US"/>
              </w:rPr>
              <w:instrText xml:space="preserve"> FORMCHECKBOX </w:instrText>
            </w:r>
            <w:r w:rsidR="007750BA">
              <w:fldChar w:fldCharType="separate"/>
            </w:r>
            <w:r>
              <w:fldChar w:fldCharType="end"/>
            </w:r>
            <w:r>
              <w:rPr>
                <w:rFonts w:cs="Arial"/>
                <w:lang w:val="en-GB"/>
              </w:rPr>
              <w:t xml:space="preserve"> </w:t>
            </w:r>
            <w:r>
              <w:rPr>
                <w:lang w:val="en-GB"/>
              </w:rPr>
              <w:t>International restricted tender procedure</w:t>
            </w:r>
          </w:p>
        </w:tc>
      </w:tr>
      <w:tr w:rsidR="004A0A2A" w:rsidRPr="0039484F" w14:paraId="5FF35BC8" w14:textId="77777777">
        <w:trPr>
          <w:trHeight w:val="240"/>
        </w:trPr>
        <w:tc>
          <w:tcPr>
            <w:tcW w:w="4106" w:type="dxa"/>
            <w:shd w:val="clear" w:color="auto" w:fill="BFBFBF" w:themeFill="background1" w:themeFillShade="BF"/>
            <w:noWrap/>
          </w:tcPr>
          <w:p w14:paraId="5C6B0684" w14:textId="77777777" w:rsidR="004A0A2A" w:rsidRDefault="0039484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Dates of the procedure start and contract signature, contract number </w:t>
            </w:r>
          </w:p>
        </w:tc>
        <w:tc>
          <w:tcPr>
            <w:tcW w:w="9888" w:type="dxa"/>
          </w:tcPr>
          <w:p w14:paraId="10E5EE4B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3BA56517" w14:textId="77777777">
        <w:trPr>
          <w:trHeight w:val="240"/>
        </w:trPr>
        <w:tc>
          <w:tcPr>
            <w:tcW w:w="13994" w:type="dxa"/>
            <w:gridSpan w:val="2"/>
            <w:shd w:val="clear" w:color="auto" w:fill="BFBFBF" w:themeFill="background1" w:themeFillShade="BF"/>
            <w:noWrap/>
          </w:tcPr>
          <w:p w14:paraId="1614EBC3" w14:textId="77777777" w:rsidR="004A0A2A" w:rsidRDefault="0039484F">
            <w:pPr>
              <w:pStyle w:val="Akapitzlist"/>
              <w:numPr>
                <w:ilvl w:val="0"/>
                <w:numId w:val="3"/>
              </w:numPr>
              <w:ind w:left="450"/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Control type (at the location of the Beneficiary/according to documents):  </w:t>
            </w:r>
          </w:p>
        </w:tc>
      </w:tr>
    </w:tbl>
    <w:p w14:paraId="5324079C" w14:textId="77777777" w:rsidR="004A0A2A" w:rsidRDefault="004A0A2A">
      <w:pPr>
        <w:rPr>
          <w:lang w:val="en-GB"/>
        </w:rPr>
      </w:pPr>
    </w:p>
    <w:p w14:paraId="2844C6DD" w14:textId="77777777" w:rsidR="004A0A2A" w:rsidRDefault="004A0A2A">
      <w:pPr>
        <w:rPr>
          <w:lang w:val="en-GB"/>
        </w:rPr>
      </w:pPr>
    </w:p>
    <w:tbl>
      <w:tblPr>
        <w:tblW w:w="141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6674"/>
        <w:gridCol w:w="1418"/>
        <w:gridCol w:w="5323"/>
      </w:tblGrid>
      <w:tr w:rsidR="004A0A2A" w14:paraId="5D234828" w14:textId="77777777">
        <w:trPr>
          <w:trHeight w:val="680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18DC1EE" w14:textId="77777777" w:rsidR="004A0A2A" w:rsidRDefault="004A0A2A">
            <w:pPr>
              <w:jc w:val="center"/>
              <w:rPr>
                <w:b/>
                <w:bCs/>
                <w:iCs/>
                <w:sz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55C9C2" w14:textId="77777777" w:rsidR="004A0A2A" w:rsidRDefault="0039484F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Yes/ No/ Not applicable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42A12E3" w14:textId="77777777" w:rsidR="004A0A2A" w:rsidRDefault="0039484F">
            <w:pPr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  <w:sz w:val="24"/>
                <w:lang w:val="en-GB"/>
              </w:rPr>
              <w:t>Controller’s comments</w:t>
            </w:r>
          </w:p>
        </w:tc>
      </w:tr>
      <w:tr w:rsidR="004A0A2A" w:rsidRPr="0039484F" w14:paraId="7762AE59" w14:textId="77777777">
        <w:trPr>
          <w:trHeight w:val="809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94217D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9506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Did the previous control of ex-ante finish with positive evaluation of documents related to the procurement procedure?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CE22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EF14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2B6EF532" w14:textId="77777777">
        <w:trPr>
          <w:trHeight w:val="67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FC7959A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05CB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Did the Beneficiary use the documents checked at ex-ante stage during the procurement procedure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1636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AD0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3FA75C1F" w14:textId="77777777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5AC14B84" w14:textId="77777777" w:rsidR="004A0A2A" w:rsidRDefault="004A0A2A">
            <w:pPr>
              <w:spacing w:after="12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47AE450" w14:textId="77777777" w:rsidR="004A0A2A" w:rsidRDefault="004A0A2A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995B757" w14:textId="77777777" w:rsidR="004A0A2A" w:rsidRDefault="004A0A2A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4A0A2A" w:rsidRPr="0039484F" w14:paraId="13C40272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85F119" w14:textId="77777777" w:rsidR="004A0A2A" w:rsidRDefault="0039484F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0BC6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Did the Beneficiary provide all documents required for the audit?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36D8B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3354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29677668" w14:textId="77777777">
        <w:trPr>
          <w:trHeight w:val="558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19E9C97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2A25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Were the presented documents certified by the Beneficiary's authorized person?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8663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35F9B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52E765F9" w14:textId="77777777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13636FF" w14:textId="77777777" w:rsidR="004A0A2A" w:rsidRDefault="004A0A2A">
            <w:pPr>
              <w:spacing w:after="12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7E8857E" w14:textId="77777777" w:rsidR="004A0A2A" w:rsidRDefault="004A0A2A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E55F6BC" w14:textId="77777777" w:rsidR="004A0A2A" w:rsidRDefault="004A0A2A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4A0A2A" w:rsidRPr="0039484F" w14:paraId="686058EE" w14:textId="77777777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3FD12F" w14:textId="77777777" w:rsidR="004A0A2A" w:rsidRDefault="0039484F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8B5BE" w14:textId="77777777" w:rsidR="004A0A2A" w:rsidRDefault="0039484F">
            <w:pPr>
              <w:spacing w:after="120"/>
              <w:rPr>
                <w:i/>
                <w:iCs/>
                <w:lang w:val="en-GB"/>
              </w:rPr>
            </w:pPr>
            <w:r>
              <w:rPr>
                <w:lang w:val="en-GB"/>
              </w:rPr>
              <w:t xml:space="preserve">Was the order type correctly identified? </w:t>
            </w:r>
            <w:r>
              <w:rPr>
                <w:i/>
                <w:iCs/>
                <w:lang w:val="en-GB"/>
              </w:rPr>
              <w:t>(rendering of services, supply of goods, construction work)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1004E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98B6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69DF9479" w14:textId="77777777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34081FE" w14:textId="77777777" w:rsidR="004A0A2A" w:rsidRDefault="0039484F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DDD0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Was the procurement procedure correctly identified?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6E05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A096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74CD328E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4FDB12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17B5" w14:textId="77777777" w:rsidR="004A0A2A" w:rsidRDefault="0039484F">
            <w:pPr>
              <w:spacing w:after="12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Was not procurement split into separate procurement procedures artificially in order to avoid the binding thresholds?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503F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396464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5C1826AF" w14:textId="77777777">
        <w:trPr>
          <w:trHeight w:val="180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1976CE" w14:textId="77777777" w:rsidR="004A0A2A" w:rsidRDefault="0039484F">
            <w:pPr>
              <w:spacing w:after="0"/>
              <w:jc w:val="center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BB8B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Have the Evaluation Committee an odd number of members (at least three) with all the technical and administrative capacities necessary to give an informed opinion on the tenders/applications? </w:t>
            </w:r>
          </w:p>
          <w:p w14:paraId="1DFA7CF8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(N/A in case of single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F5C9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E2A1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3D8A7ED9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590EC81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18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DE0A" w14:textId="77777777" w:rsidR="004A0A2A" w:rsidRDefault="0039484F">
            <w:pPr>
              <w:pStyle w:val="Default"/>
              <w:spacing w:after="120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Have all Evaluation Committee members</w:t>
            </w:r>
            <w:r>
              <w:rPr>
                <w:rStyle w:val="Odwoanieprzypisudolnego"/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footnoteReference w:id="1"/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signed separate Declaration of impartiality and confidentiality in accordance with Annex II to General Rules.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02EB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8D0AD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1935225F" w14:textId="77777777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5312A5F" w14:textId="77777777" w:rsidR="004A0A2A" w:rsidRDefault="004A0A2A">
            <w:pPr>
              <w:spacing w:after="12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4A332254" w14:textId="77777777" w:rsidR="004A0A2A" w:rsidRDefault="004A0A2A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6B8C39D" w14:textId="77777777" w:rsidR="004A0A2A" w:rsidRDefault="004A0A2A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4A0A2A" w14:paraId="6A8810CA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74632A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1521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Was the procurement documentation prepared according to the Programme requirements?</w:t>
            </w:r>
          </w:p>
          <w:p w14:paraId="42F068C8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(§ 6 of the General Rules)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99AC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D3A" w14:textId="77777777" w:rsidR="004A0A2A" w:rsidRDefault="004A0A2A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4A0A2A" w:rsidRPr="0039484F" w14:paraId="502CD770" w14:textId="77777777">
        <w:trPr>
          <w:trHeight w:val="60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F90601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0810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Were the conditions of procurement </w:t>
            </w:r>
            <w:r>
              <w:rPr>
                <w:color w:val="000000" w:themeColor="text1"/>
                <w:lang w:val="en-GB"/>
              </w:rPr>
              <w:t xml:space="preserve">approved by </w:t>
            </w:r>
            <w:r>
              <w:rPr>
                <w:rStyle w:val="Hps"/>
                <w:iCs/>
                <w:color w:val="000000" w:themeColor="text1"/>
                <w:u w:val="single"/>
                <w:lang w:val="en-GB"/>
              </w:rPr>
              <w:t>the person(s) with respective powers</w:t>
            </w:r>
            <w:r>
              <w:rPr>
                <w:iCs/>
                <w:color w:val="000000" w:themeColor="text1"/>
                <w:lang w:val="en-GB"/>
              </w:rPr>
              <w:t>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3463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B8F9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5134A978" w14:textId="77777777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51B941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DD16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Were the terms of participation in the procedure put online? </w:t>
            </w:r>
          </w:p>
          <w:p w14:paraId="26FA731B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(applicable for open / restricted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8BAD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66E1" w14:textId="77777777" w:rsidR="004A0A2A" w:rsidRDefault="0039484F">
            <w:pPr>
              <w:pStyle w:val="Default"/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  <w:lang w:val="en-GB"/>
              </w:rPr>
              <w:t>if applicable, please name the platform(s) and date of publication</w:t>
            </w:r>
          </w:p>
        </w:tc>
      </w:tr>
      <w:tr w:rsidR="004A0A2A" w:rsidRPr="0039484F" w14:paraId="7DDD4A8F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C56315D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B5A5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Were the deadlines for submission of applications or tenders in line with the General Rules?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5455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10F1B" w14:textId="77777777" w:rsidR="004A0A2A" w:rsidRDefault="004A0A2A">
            <w:pPr>
              <w:rPr>
                <w:i/>
                <w:lang w:val="en-GB"/>
              </w:rPr>
            </w:pPr>
          </w:p>
        </w:tc>
      </w:tr>
      <w:tr w:rsidR="004A0A2A" w:rsidRPr="0039484F" w14:paraId="66E322C7" w14:textId="77777777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D82424B" w14:textId="77777777" w:rsidR="004A0A2A" w:rsidRDefault="004A0A2A">
            <w:pPr>
              <w:spacing w:after="12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7935F1E9" w14:textId="77777777" w:rsidR="004A0A2A" w:rsidRDefault="004A0A2A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58E8077" w14:textId="77777777" w:rsidR="004A0A2A" w:rsidRDefault="004A0A2A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4A0A2A" w:rsidRPr="0039484F" w14:paraId="22F8E404" w14:textId="77777777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2BA2C6C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5F1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D5B2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401E0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694AAA36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5027AC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D07E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Did the Beneficiary exclude/reject all bids that are subject to exclusion/rejection?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57E7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60280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74204F77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070BEEB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24a </w:t>
            </w:r>
          </w:p>
          <w:p w14:paraId="30592D64" w14:textId="77777777" w:rsidR="004A0A2A" w:rsidRDefault="004A0A2A">
            <w:pPr>
              <w:pStyle w:val="Zwykytekst"/>
            </w:pP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1E15" w14:textId="32A64E34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Has any bodies involved in or supporting directly or indirectly the aggression on Ukraine been excluded from the procurement?</w:t>
            </w:r>
            <w:r>
              <w:rPr>
                <w:rStyle w:val="Odwoanieprzypisudolnego"/>
                <w:lang w:val="en-GB"/>
              </w:rPr>
              <w:footnoteReference w:id="2"/>
            </w:r>
          </w:p>
          <w:p w14:paraId="72A1F3C7" w14:textId="77777777" w:rsidR="004A0A2A" w:rsidRDefault="0039484F">
            <w:pPr>
              <w:spacing w:after="120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Based on art. 5l.1 COUNCIL REGULATION (EU) No 833/2014 of 31 July 2014 concerning restrictive measures in view of Russia's actions destabilising the situation in Ukraine</w:t>
            </w:r>
          </w:p>
          <w:p w14:paraId="4A120590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i/>
                <w:iCs/>
                <w:lang w:val="en-GB"/>
              </w:rPr>
              <w:lastRenderedPageBreak/>
              <w:t>Auditor shall use also publicly available national data bases to verify if bodies are associated with entities supporting aggression against Ukraine</w:t>
            </w:r>
          </w:p>
          <w:p w14:paraId="306C5149" w14:textId="77777777" w:rsidR="004A0A2A" w:rsidRPr="0039484F" w:rsidRDefault="004A0A2A">
            <w:pPr>
              <w:pStyle w:val="Zwykytekst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2D8B" w14:textId="77777777" w:rsidR="004A0A2A" w:rsidRDefault="004A0A2A">
            <w:pPr>
              <w:rPr>
                <w:lang w:val="en-GB"/>
              </w:rPr>
            </w:pPr>
          </w:p>
          <w:p w14:paraId="651B0709" w14:textId="77777777" w:rsidR="004A0A2A" w:rsidRPr="0039484F" w:rsidRDefault="004A0A2A">
            <w:pPr>
              <w:pStyle w:val="Zwykytekst"/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9C06E" w14:textId="77777777" w:rsidR="004A0A2A" w:rsidRDefault="004A0A2A">
            <w:pPr>
              <w:rPr>
                <w:lang w:val="en-GB"/>
              </w:rPr>
            </w:pPr>
          </w:p>
          <w:p w14:paraId="1A8825D6" w14:textId="77777777" w:rsidR="004A0A2A" w:rsidRPr="0039484F" w:rsidRDefault="004A0A2A">
            <w:pPr>
              <w:pStyle w:val="Zwykytekst"/>
              <w:rPr>
                <w:lang w:val="en-US"/>
              </w:rPr>
            </w:pPr>
          </w:p>
        </w:tc>
      </w:tr>
      <w:tr w:rsidR="004A0A2A" w:rsidRPr="0039484F" w14:paraId="6AF9B622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6958870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DC13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Was there no potential conflict of interest?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7EE5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7307A9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5A08E393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8CD2B18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EB32" w14:textId="77777777" w:rsidR="004A0A2A" w:rsidRDefault="0039484F">
            <w:pPr>
              <w:spacing w:after="120"/>
              <w:rPr>
                <w:lang w:val="en-US"/>
              </w:rPr>
            </w:pPr>
            <w:r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AED6" w14:textId="77777777" w:rsidR="004A0A2A" w:rsidRDefault="004A0A2A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C92121" w14:textId="77777777" w:rsidR="004A0A2A" w:rsidRDefault="004A0A2A">
            <w:pPr>
              <w:rPr>
                <w:lang w:val="en-US"/>
              </w:rPr>
            </w:pPr>
          </w:p>
        </w:tc>
      </w:tr>
      <w:tr w:rsidR="004A0A2A" w:rsidRPr="0039484F" w14:paraId="75ACDEDE" w14:textId="77777777">
        <w:trPr>
          <w:trHeight w:val="12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0F7085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6A4B" w14:textId="77777777" w:rsidR="004A0A2A" w:rsidRDefault="0039484F">
            <w:pPr>
              <w:spacing w:after="120"/>
              <w:rPr>
                <w:lang w:val="en-US"/>
              </w:rPr>
            </w:pPr>
            <w:r>
              <w:rPr>
                <w:lang w:val="en-GB"/>
              </w:rPr>
              <w:t xml:space="preserve">Is the most favourable bid the best from the point of view of criteria established by the Beneficiary?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6A022" w14:textId="77777777" w:rsidR="004A0A2A" w:rsidRDefault="004A0A2A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9E682" w14:textId="77777777" w:rsidR="004A0A2A" w:rsidRDefault="004A0A2A">
            <w:pPr>
              <w:rPr>
                <w:lang w:val="en-US"/>
              </w:rPr>
            </w:pPr>
          </w:p>
        </w:tc>
      </w:tr>
      <w:tr w:rsidR="004A0A2A" w:rsidRPr="0039484F" w14:paraId="1BF86535" w14:textId="77777777">
        <w:trPr>
          <w:trHeight w:val="12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EEDC18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387E" w14:textId="77777777" w:rsidR="004A0A2A" w:rsidRDefault="0039484F">
            <w:pPr>
              <w:spacing w:after="120"/>
              <w:rPr>
                <w:lang w:val="en-US"/>
              </w:rPr>
            </w:pPr>
            <w:r>
              <w:rPr>
                <w:lang w:val="en-GB"/>
              </w:rPr>
              <w:t xml:space="preserve">Has not </w:t>
            </w:r>
            <w:r>
              <w:rPr>
                <w:i/>
                <w:iCs/>
                <w:lang w:val="en-GB"/>
              </w:rPr>
              <w:t>preferential discount</w:t>
            </w:r>
            <w:r>
              <w:rPr>
                <w:lang w:val="en-GB"/>
              </w:rPr>
              <w:t xml:space="preserve"> been applied?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2751" w14:textId="77777777" w:rsidR="004A0A2A" w:rsidRDefault="004A0A2A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33DD8" w14:textId="77777777" w:rsidR="004A0A2A" w:rsidRDefault="004A0A2A">
            <w:pPr>
              <w:rPr>
                <w:lang w:val="en-US"/>
              </w:rPr>
            </w:pPr>
          </w:p>
        </w:tc>
      </w:tr>
      <w:tr w:rsidR="004A0A2A" w:rsidRPr="0039484F" w14:paraId="113BA648" w14:textId="77777777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34F5EA6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EC937" w14:textId="77777777" w:rsidR="004A0A2A" w:rsidRDefault="0039484F">
            <w:pPr>
              <w:spacing w:after="120"/>
              <w:rPr>
                <w:lang w:val="en-US"/>
              </w:rPr>
            </w:pPr>
            <w:r>
              <w:rPr>
                <w:lang w:val="en-GB"/>
              </w:rPr>
              <w:t xml:space="preserve">Was the most favourable bid selected?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24B1" w14:textId="77777777" w:rsidR="004A0A2A" w:rsidRDefault="004A0A2A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E4861" w14:textId="77777777" w:rsidR="004A0A2A" w:rsidRDefault="004A0A2A">
            <w:pPr>
              <w:rPr>
                <w:lang w:val="en-US"/>
              </w:rPr>
            </w:pPr>
          </w:p>
        </w:tc>
      </w:tr>
      <w:tr w:rsidR="004A0A2A" w:rsidRPr="0039484F" w14:paraId="4CF8D462" w14:textId="77777777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866CC88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55F8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color w:val="000000" w:themeColor="text1"/>
                <w:lang w:val="en-GB"/>
              </w:rPr>
              <w:t>Was the decision of the Committee recorded in the minutes, specifying reasons and providing explanations of the Committee’s decision?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FFC2" w14:textId="77777777" w:rsidR="004A0A2A" w:rsidRDefault="004A0A2A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F8832" w14:textId="77777777" w:rsidR="004A0A2A" w:rsidRDefault="004A0A2A">
            <w:pPr>
              <w:rPr>
                <w:lang w:val="en-US"/>
              </w:rPr>
            </w:pPr>
          </w:p>
        </w:tc>
      </w:tr>
      <w:tr w:rsidR="004A0A2A" w:rsidRPr="0039484F" w14:paraId="7CB354B1" w14:textId="77777777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0F894DD" w14:textId="77777777" w:rsidR="004A0A2A" w:rsidRDefault="0039484F">
            <w:pPr>
              <w:jc w:val="center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>31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8CEB" w14:textId="77777777" w:rsidR="004A0A2A" w:rsidRDefault="0039484F">
            <w:pPr>
              <w:spacing w:after="120"/>
              <w:rPr>
                <w:color w:val="000000" w:themeColor="text1"/>
                <w:lang w:val="en-GB"/>
              </w:rPr>
            </w:pPr>
            <w:r>
              <w:rPr>
                <w:color w:val="000000" w:themeColor="text1"/>
                <w:lang w:val="en-GB"/>
              </w:rPr>
              <w:t xml:space="preserve">Were the minutes signed by all the members present at the Committee’s meeting?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FAC5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E5659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056DE4A4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C50BA1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BE6BF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Was the information ab out the selection of the most favourable bid published? </w:t>
            </w:r>
          </w:p>
          <w:p w14:paraId="70AFFD42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i/>
                <w:iCs/>
                <w:lang w:val="en-GB"/>
              </w:rPr>
              <w:t>(applicable for open / restricted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3BEF2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10809" w14:textId="77777777" w:rsidR="004A0A2A" w:rsidRDefault="004A0A2A">
            <w:pPr>
              <w:pStyle w:val="Default"/>
              <w:rPr>
                <w:rFonts w:asciiTheme="minorHAnsi" w:hAnsiTheme="minorHAnsi" w:cstheme="minorBidi"/>
                <w:color w:val="auto"/>
                <w:sz w:val="22"/>
                <w:szCs w:val="22"/>
                <w:lang w:val="en-GB"/>
              </w:rPr>
            </w:pPr>
          </w:p>
        </w:tc>
      </w:tr>
      <w:tr w:rsidR="004A0A2A" w14:paraId="478E1653" w14:textId="77777777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3E910DD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D6D7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Was the Procurement Note (Annex I to General Rules) properly filled in?</w:t>
            </w:r>
          </w:p>
          <w:p w14:paraId="4296EDEA" w14:textId="77777777" w:rsidR="004A0A2A" w:rsidRDefault="0039484F">
            <w:pPr>
              <w:spacing w:after="120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(applicable for single tender)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14EE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9D005" w14:textId="77777777" w:rsidR="004A0A2A" w:rsidRDefault="004A0A2A">
            <w:pPr>
              <w:rPr>
                <w:lang w:val="en-GB"/>
              </w:rPr>
            </w:pPr>
          </w:p>
        </w:tc>
      </w:tr>
      <w:tr w:rsidR="004A0A2A" w14:paraId="590DDBA7" w14:textId="77777777">
        <w:trPr>
          <w:trHeight w:val="87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0FB4512" w14:textId="77777777" w:rsidR="004A0A2A" w:rsidRDefault="004A0A2A">
            <w:pPr>
              <w:spacing w:after="120"/>
              <w:rPr>
                <w:b/>
                <w:bCs/>
                <w:iCs/>
                <w:sz w:val="10"/>
                <w:szCs w:val="10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329591FD" w14:textId="77777777" w:rsidR="004A0A2A" w:rsidRDefault="004A0A2A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2F0E7792" w14:textId="77777777" w:rsidR="004A0A2A" w:rsidRDefault="004A0A2A">
            <w:pPr>
              <w:spacing w:after="0"/>
              <w:rPr>
                <w:b/>
                <w:sz w:val="10"/>
                <w:szCs w:val="10"/>
                <w:lang w:val="en-GB"/>
              </w:rPr>
            </w:pPr>
          </w:p>
        </w:tc>
      </w:tr>
      <w:tr w:rsidR="004A0A2A" w:rsidRPr="0039484F" w14:paraId="53F8590D" w14:textId="77777777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3B077AE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F1CE" w14:textId="77777777" w:rsidR="004A0A2A" w:rsidRDefault="0039484F">
            <w:pPr>
              <w:spacing w:after="120"/>
              <w:rPr>
                <w:lang w:val="en-US"/>
              </w:rPr>
            </w:pPr>
            <w:r>
              <w:rPr>
                <w:lang w:val="en-GB"/>
              </w:rPr>
              <w:t>Do terms of the signed contract conform to terms of the bid?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2A07" w14:textId="77777777" w:rsidR="004A0A2A" w:rsidRDefault="004A0A2A">
            <w:pPr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611F3E" w14:textId="77777777" w:rsidR="004A0A2A" w:rsidRDefault="004A0A2A">
            <w:pPr>
              <w:rPr>
                <w:lang w:val="en-US"/>
              </w:rPr>
            </w:pPr>
          </w:p>
        </w:tc>
      </w:tr>
      <w:tr w:rsidR="004A0A2A" w:rsidRPr="0039484F" w14:paraId="3CB2DAC1" w14:textId="77777777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97D2528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lastRenderedPageBreak/>
              <w:t>35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5CC7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Are there terms of invalidity of the signed contract?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11D7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DC2CE2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4F4BC006" w14:textId="77777777">
        <w:trPr>
          <w:trHeight w:val="45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7EF34F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E556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Was the contract concluded by the persons with respective powers?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BA3B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46CC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7696C157" w14:textId="77777777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127DB3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F57F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Was the contract presented in writing?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EF31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6EED69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07CF5C96" w14:textId="77777777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0840B89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5406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If the contract was modified, were not the provisions of § 6 and § 8 of the General Rules violated?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2813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7515BA" w14:textId="77777777" w:rsidR="004A0A2A" w:rsidRDefault="004A0A2A">
            <w:pPr>
              <w:rPr>
                <w:lang w:val="en-GB"/>
              </w:rPr>
            </w:pPr>
          </w:p>
        </w:tc>
      </w:tr>
      <w:tr w:rsidR="004A0A2A" w14:paraId="07D5C320" w14:textId="77777777">
        <w:trPr>
          <w:trHeight w:val="225"/>
        </w:trPr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91F9C11" w14:textId="77777777" w:rsidR="004A0A2A" w:rsidRDefault="0039484F">
            <w:pPr>
              <w:spacing w:after="120"/>
              <w:jc w:val="center"/>
              <w:rPr>
                <w:b/>
                <w:lang w:val="en-GB"/>
              </w:rPr>
            </w:pPr>
            <w:r>
              <w:rPr>
                <w:b/>
                <w:bCs/>
                <w:lang w:val="en-GB"/>
              </w:rPr>
              <w:t>Summary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CB30D26" w14:textId="77777777" w:rsidR="004A0A2A" w:rsidRDefault="0039484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Yes/ No/ Not applicable</w:t>
            </w: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C0C1D88" w14:textId="77777777" w:rsidR="004A0A2A" w:rsidRDefault="0039484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Controller’s comments</w:t>
            </w:r>
          </w:p>
        </w:tc>
      </w:tr>
      <w:tr w:rsidR="004A0A2A" w:rsidRPr="0039484F" w14:paraId="3E37DB9B" w14:textId="77777777">
        <w:trPr>
          <w:trHeight w:val="22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EAB5880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F0FA" w14:textId="50A9A22F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Was the  procurement procedure was evaluated positively?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95CB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C240AC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51B73DC3" w14:textId="77777777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FF09578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221E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In the event of negative evaluation of procurement: according to consequences of detected violations, it is proposed to impose financial penalties (</w:t>
            </w:r>
            <w:r>
              <w:rPr>
                <w:i/>
                <w:iCs/>
                <w:lang w:val="en-GB"/>
              </w:rPr>
              <w:t>Annex 1 to the Programme Guidelines on expenditure verification</w:t>
            </w:r>
            <w:r>
              <w:rPr>
                <w:lang w:val="en-GB"/>
              </w:rPr>
              <w:t>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A6C0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E9E306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1D01801B" w14:textId="77777777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DC940D8" w14:textId="77777777" w:rsidR="004A0A2A" w:rsidRDefault="0039484F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AAF6" w14:textId="77777777" w:rsidR="004A0A2A" w:rsidRDefault="0039484F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 xml:space="preserve">In the event of negative evaluation of procurement: based on consequences of detected violations it is proposed to recognize all expenses for procurement as ineligible.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6905" w14:textId="77777777" w:rsidR="004A0A2A" w:rsidRDefault="004A0A2A">
            <w:pPr>
              <w:rPr>
                <w:lang w:val="en-GB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B9D3DC" w14:textId="77777777" w:rsidR="004A0A2A" w:rsidRDefault="004A0A2A">
            <w:pPr>
              <w:rPr>
                <w:lang w:val="en-GB"/>
              </w:rPr>
            </w:pPr>
          </w:p>
        </w:tc>
      </w:tr>
      <w:tr w:rsidR="004A0A2A" w:rsidRPr="0039484F" w14:paraId="582AABE0" w14:textId="77777777">
        <w:trPr>
          <w:trHeight w:val="675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9C55D6" w14:textId="2119B110" w:rsidR="004A0A2A" w:rsidRDefault="004A0A2A">
            <w:pPr>
              <w:jc w:val="center"/>
              <w:rPr>
                <w:lang w:val="en-GB"/>
              </w:rPr>
            </w:pPr>
          </w:p>
          <w:p w14:paraId="5195DE43" w14:textId="77777777" w:rsidR="004A0A2A" w:rsidRPr="0039484F" w:rsidRDefault="004A0A2A">
            <w:pPr>
              <w:pStyle w:val="Zwykytekst"/>
              <w:rPr>
                <w:lang w:val="en-US"/>
              </w:rPr>
            </w:pP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9271" w14:textId="11AA1D2A" w:rsidR="004A0A2A" w:rsidRDefault="004A0A2A">
            <w:pPr>
              <w:spacing w:after="120"/>
              <w:rPr>
                <w:lang w:val="en-GB"/>
              </w:rPr>
            </w:pPr>
          </w:p>
          <w:p w14:paraId="7259B24B" w14:textId="77777777" w:rsidR="004A0A2A" w:rsidRPr="0039484F" w:rsidRDefault="004A0A2A">
            <w:pPr>
              <w:pStyle w:val="Zwykytekst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DEC1" w14:textId="77777777" w:rsidR="004A0A2A" w:rsidRDefault="004A0A2A">
            <w:pPr>
              <w:rPr>
                <w:lang w:val="en-GB"/>
              </w:rPr>
            </w:pPr>
          </w:p>
          <w:p w14:paraId="59838786" w14:textId="77777777" w:rsidR="004A0A2A" w:rsidRPr="0039484F" w:rsidRDefault="004A0A2A">
            <w:pPr>
              <w:pStyle w:val="Zwykytekst"/>
              <w:rPr>
                <w:lang w:val="en-US"/>
              </w:rPr>
            </w:pPr>
          </w:p>
        </w:tc>
        <w:tc>
          <w:tcPr>
            <w:tcW w:w="5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F311CC" w14:textId="77777777" w:rsidR="004A0A2A" w:rsidRDefault="004A0A2A">
            <w:pPr>
              <w:rPr>
                <w:lang w:val="en-GB"/>
              </w:rPr>
            </w:pPr>
          </w:p>
          <w:p w14:paraId="78FE8B15" w14:textId="77777777" w:rsidR="004A0A2A" w:rsidRPr="0039484F" w:rsidRDefault="004A0A2A">
            <w:pPr>
              <w:pStyle w:val="Zwykytekst"/>
              <w:rPr>
                <w:lang w:val="en-US"/>
              </w:rPr>
            </w:pPr>
          </w:p>
        </w:tc>
      </w:tr>
    </w:tbl>
    <w:p w14:paraId="781084F7" w14:textId="77777777" w:rsidR="004A0A2A" w:rsidRDefault="004A0A2A">
      <w:pPr>
        <w:rPr>
          <w:lang w:val="en-GB"/>
        </w:rPr>
      </w:pPr>
    </w:p>
    <w:p w14:paraId="2CC9FAB5" w14:textId="77777777" w:rsidR="004A0A2A" w:rsidRDefault="0039484F">
      <w:pPr>
        <w:rPr>
          <w:lang w:val="en-GB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1F87B" wp14:editId="07D662C6">
                <wp:simplePos x="0" y="0"/>
                <wp:positionH relativeFrom="column">
                  <wp:posOffset>2794000</wp:posOffset>
                </wp:positionH>
                <wp:positionV relativeFrom="paragraph">
                  <wp:posOffset>-1</wp:posOffset>
                </wp:positionV>
                <wp:extent cx="5572125" cy="0"/>
                <wp:effectExtent l="0" t="0" r="0" b="9526"/>
                <wp:wrapNone/>
                <wp:docPr id="3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4985E98E-2850-6E5A-8AF4AB11E872" coordsize="21600,21600" style="position:absolute;width:438.75pt;height:0pt;mso-width-percent:0;mso-width-relative:page;mso-height-percent:0;mso-height-relative:page;margin-top:-7.87402e-05pt;margin-left:220pt;mso-wrap-distance-left:9pt;mso-wrap-distance-right:9pt;mso-wrap-distance-top:0pt;mso-wrap-distance-bottom:0pt;rotation:0.000000;z-index:251659264;" strokecolor="#000000" strokeweight="0.75pt" o:spt="32" o:oned="t" path="m0,0 l21600,21600 e">
                <v:stroke color="#000000" filltype="solid" joinstyle="round" linestyle="single" mitterlimit="800000" weight="0.75pt"/>
                <w10:wrap side="both"/>
                <o:lock/>
              </v:shape>
            </w:pict>
          </mc:Fallback>
        </mc:AlternateContent>
      </w:r>
      <w:r>
        <w:rPr>
          <w:lang w:val="en-GB"/>
        </w:rPr>
        <w:t>Signature and stamp of the auditor</w:t>
      </w:r>
    </w:p>
    <w:p w14:paraId="5BA3B8B6" w14:textId="77777777" w:rsidR="004A0A2A" w:rsidRDefault="0039484F">
      <w:pPr>
        <w:rPr>
          <w:lang w:val="en-GB"/>
        </w:rPr>
      </w:pPr>
      <w:r>
        <w:rPr>
          <w:lang w:val="en-GB"/>
        </w:rPr>
        <w:t>Place, date</w:t>
      </w:r>
    </w:p>
    <w:sectPr w:rsidR="004A0A2A">
      <w:headerReference w:type="default" r:id="rId8"/>
      <w:footerReference w:type="default" r:id="rId9"/>
      <w:pgSz w:w="16838" w:h="11906" w:orient="landscape"/>
      <w:pgMar w:top="1418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A1734" w14:textId="77777777" w:rsidR="004A0A2A" w:rsidRDefault="0039484F">
      <w:pPr>
        <w:spacing w:after="0" w:line="240" w:lineRule="auto"/>
      </w:pPr>
      <w:r>
        <w:separator/>
      </w:r>
    </w:p>
  </w:endnote>
  <w:endnote w:type="continuationSeparator" w:id="0">
    <w:p w14:paraId="72739792" w14:textId="77777777" w:rsidR="004A0A2A" w:rsidRDefault="00394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72A94" w14:textId="77777777" w:rsidR="004A0A2A" w:rsidRDefault="004A0A2A" w:rsidP="0039484F">
    <w:pPr>
      <w:pStyle w:val="Stopka"/>
      <w:tabs>
        <w:tab w:val="clear" w:pos="4536"/>
        <w:tab w:val="clear" w:pos="9072"/>
        <w:tab w:val="left" w:pos="28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AEF59" w14:textId="77777777" w:rsidR="004A0A2A" w:rsidRDefault="0039484F">
      <w:pPr>
        <w:spacing w:after="0" w:line="240" w:lineRule="auto"/>
      </w:pPr>
      <w:r>
        <w:separator/>
      </w:r>
    </w:p>
  </w:footnote>
  <w:footnote w:type="continuationSeparator" w:id="0">
    <w:p w14:paraId="2E332360" w14:textId="77777777" w:rsidR="004A0A2A" w:rsidRDefault="0039484F">
      <w:pPr>
        <w:spacing w:after="0" w:line="240" w:lineRule="auto"/>
      </w:pPr>
      <w:r>
        <w:continuationSeparator/>
      </w:r>
    </w:p>
  </w:footnote>
  <w:footnote w:id="1">
    <w:p w14:paraId="6198B5DE" w14:textId="77777777" w:rsidR="004A0A2A" w:rsidRDefault="0039484F">
      <w:pPr>
        <w:pStyle w:val="Tekstprzypisudolnego"/>
        <w:rPr>
          <w:lang w:val="en-GB"/>
        </w:rPr>
      </w:pPr>
      <w:r>
        <w:rPr>
          <w:rStyle w:val="Odwoanieprzypisudolnego"/>
        </w:rPr>
        <w:footnoteRef/>
      </w:r>
      <w:r>
        <w:rPr>
          <w:lang w:val="en-GB"/>
        </w:rPr>
        <w:t xml:space="preserve"> In case of single tender – the employee assigned to carry the procurement of the Beneficiary’s organisation.</w:t>
      </w:r>
    </w:p>
  </w:footnote>
  <w:footnote w:id="2">
    <w:p w14:paraId="3A85E868" w14:textId="77777777" w:rsidR="004A0A2A" w:rsidRPr="0039484F" w:rsidRDefault="0039484F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en-US"/>
        </w:rPr>
        <w:t>Applies after 24.02.2022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F24E9" w14:textId="6491B9AD" w:rsidR="004A0A2A" w:rsidRDefault="0039484F">
    <w:pPr>
      <w:pStyle w:val="Nagwek"/>
      <w:rPr>
        <w:lang w:val="en-US"/>
      </w:rPr>
    </w:pPr>
    <w:r>
      <w:rPr>
        <w:noProof/>
        <w:lang w:val="uk-UA" w:eastAsia="uk-UA"/>
      </w:rPr>
      <w:drawing>
        <wp:anchor distT="0" distB="0" distL="114300" distR="114300" simplePos="0" relativeHeight="251659265" behindDoc="0" locked="0" layoutInCell="1" allowOverlap="1" wp14:anchorId="78B0FFAB" wp14:editId="394D328A">
          <wp:simplePos x="0" y="0"/>
          <wp:positionH relativeFrom="margin">
            <wp:posOffset>7200900</wp:posOffset>
          </wp:positionH>
          <wp:positionV relativeFrom="paragraph">
            <wp:posOffset>8890</wp:posOffset>
          </wp:positionV>
          <wp:extent cx="1811849" cy="380978"/>
          <wp:effectExtent l="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1849" cy="3809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sz w:val="20"/>
        <w:lang w:val="en-US"/>
      </w:rPr>
      <w:t xml:space="preserve">Annex no. 6a – </w:t>
    </w:r>
    <w:r>
      <w:rPr>
        <w:b/>
        <w:i/>
        <w:sz w:val="20"/>
        <w:szCs w:val="20"/>
        <w:lang w:val="en-US"/>
      </w:rPr>
      <w:t xml:space="preserve">Template of the checklist for Procurement Control for the </w:t>
    </w:r>
    <w:r>
      <w:rPr>
        <w:b/>
        <w:i/>
        <w:sz w:val="20"/>
        <w:szCs w:val="20"/>
        <w:lang w:val="en-GB"/>
      </w:rPr>
      <w:t>Ukrainian non-public</w:t>
    </w:r>
    <w:r>
      <w:rPr>
        <w:b/>
        <w:i/>
        <w:sz w:val="20"/>
        <w:szCs w:val="20"/>
        <w:lang w:val="en-US"/>
      </w:rPr>
      <w:t xml:space="preserve"> beneficiaries</w:t>
    </w:r>
    <w:r>
      <w:rPr>
        <w:b/>
        <w:i/>
        <w:sz w:val="20"/>
        <w:szCs w:val="20"/>
        <w:lang w:val="en-US"/>
      </w:rPr>
      <w:tab/>
    </w:r>
    <w:r>
      <w:rPr>
        <w:b/>
        <w:i/>
        <w:sz w:val="20"/>
        <w:szCs w:val="20"/>
        <w:lang w:val="en-US"/>
      </w:rPr>
      <w:tab/>
    </w:r>
    <w:r>
      <w:rPr>
        <w:b/>
        <w:i/>
        <w:sz w:val="20"/>
        <w:szCs w:val="20"/>
        <w:lang w:val="en-US"/>
      </w:rPr>
      <w:tab/>
    </w:r>
    <w:r>
      <w:rPr>
        <w:b/>
        <w:i/>
        <w:sz w:val="20"/>
        <w:szCs w:val="20"/>
        <w:lang w:val="en-US"/>
      </w:rPr>
      <w:tab/>
    </w:r>
    <w:r>
      <w:rPr>
        <w:b/>
        <w:i/>
        <w:sz w:val="20"/>
        <w:szCs w:val="20"/>
        <w:lang w:val="en-US"/>
      </w:rPr>
      <w:tab/>
    </w:r>
    <w:r>
      <w:rPr>
        <w:b/>
        <w:i/>
        <w:sz w:val="20"/>
        <w:szCs w:val="20"/>
        <w:lang w:val="en-US"/>
      </w:rPr>
      <w:tab/>
    </w:r>
    <w:r>
      <w:rPr>
        <w:b/>
        <w:i/>
        <w:sz w:val="20"/>
        <w:szCs w:val="20"/>
        <w:lang w:val="en-US"/>
      </w:rPr>
      <w:tab/>
    </w:r>
  </w:p>
  <w:p w14:paraId="5A27C095" w14:textId="77777777" w:rsidR="004A0A2A" w:rsidRDefault="004A0A2A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F6E09"/>
    <w:multiLevelType w:val="hybridMultilevel"/>
    <w:tmpl w:val="571E80B0"/>
    <w:lvl w:ilvl="0" w:tplc="4972FAFA">
      <w:start w:val="1"/>
      <w:numFmt w:val="lowerLetter"/>
      <w:lvlText w:val=""/>
      <w:lvlJc w:val="left"/>
    </w:lvl>
    <w:lvl w:ilvl="1" w:tplc="03E8180A">
      <w:numFmt w:val="decimal"/>
      <w:lvlText w:val=""/>
      <w:lvlJc w:val="left"/>
    </w:lvl>
    <w:lvl w:ilvl="2" w:tplc="8FEE36F4">
      <w:numFmt w:val="decimal"/>
      <w:lvlText w:val=""/>
      <w:lvlJc w:val="left"/>
    </w:lvl>
    <w:lvl w:ilvl="3" w:tplc="8438CC6A">
      <w:numFmt w:val="decimal"/>
      <w:lvlText w:val=""/>
      <w:lvlJc w:val="left"/>
    </w:lvl>
    <w:lvl w:ilvl="4" w:tplc="8F6A39A8">
      <w:numFmt w:val="decimal"/>
      <w:lvlText w:val=""/>
      <w:lvlJc w:val="left"/>
    </w:lvl>
    <w:lvl w:ilvl="5" w:tplc="6B3EB426">
      <w:numFmt w:val="decimal"/>
      <w:lvlText w:val=""/>
      <w:lvlJc w:val="left"/>
    </w:lvl>
    <w:lvl w:ilvl="6" w:tplc="9E3C00E4">
      <w:numFmt w:val="decimal"/>
      <w:lvlText w:val=""/>
      <w:lvlJc w:val="left"/>
    </w:lvl>
    <w:lvl w:ilvl="7" w:tplc="617E88F4">
      <w:numFmt w:val="decimal"/>
      <w:lvlText w:val=""/>
      <w:lvlJc w:val="left"/>
    </w:lvl>
    <w:lvl w:ilvl="8" w:tplc="8878D57E">
      <w:numFmt w:val="decimal"/>
      <w:lvlText w:val=""/>
      <w:lvlJc w:val="left"/>
    </w:lvl>
  </w:abstractNum>
  <w:abstractNum w:abstractNumId="1" w15:restartNumberingAfterBreak="0">
    <w:nsid w:val="1B181B0B"/>
    <w:multiLevelType w:val="hybridMultilevel"/>
    <w:tmpl w:val="620016B4"/>
    <w:lvl w:ilvl="0" w:tplc="692EA5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349A4C" w:tentative="1">
      <w:start w:val="1"/>
      <w:numFmt w:val="lowerLetter"/>
      <w:lvlText w:val="%2."/>
      <w:lvlJc w:val="left"/>
      <w:pPr>
        <w:ind w:left="1440" w:hanging="360"/>
      </w:pPr>
    </w:lvl>
    <w:lvl w:ilvl="2" w:tplc="CD4C920C" w:tentative="1">
      <w:start w:val="1"/>
      <w:numFmt w:val="lowerRoman"/>
      <w:lvlText w:val="%3."/>
      <w:lvlJc w:val="right"/>
      <w:pPr>
        <w:ind w:left="2160" w:hanging="180"/>
      </w:pPr>
    </w:lvl>
    <w:lvl w:ilvl="3" w:tplc="80E2EA36" w:tentative="1">
      <w:start w:val="1"/>
      <w:numFmt w:val="decimal"/>
      <w:lvlText w:val="%4."/>
      <w:lvlJc w:val="left"/>
      <w:pPr>
        <w:ind w:left="2880" w:hanging="360"/>
      </w:pPr>
    </w:lvl>
    <w:lvl w:ilvl="4" w:tplc="A79EDD5C" w:tentative="1">
      <w:start w:val="1"/>
      <w:numFmt w:val="lowerLetter"/>
      <w:lvlText w:val="%5."/>
      <w:lvlJc w:val="left"/>
      <w:pPr>
        <w:ind w:left="3600" w:hanging="360"/>
      </w:pPr>
    </w:lvl>
    <w:lvl w:ilvl="5" w:tplc="C8502B0E" w:tentative="1">
      <w:start w:val="1"/>
      <w:numFmt w:val="lowerRoman"/>
      <w:lvlText w:val="%6."/>
      <w:lvlJc w:val="right"/>
      <w:pPr>
        <w:ind w:left="4320" w:hanging="180"/>
      </w:pPr>
    </w:lvl>
    <w:lvl w:ilvl="6" w:tplc="2E4EF412" w:tentative="1">
      <w:start w:val="1"/>
      <w:numFmt w:val="decimal"/>
      <w:lvlText w:val="%7."/>
      <w:lvlJc w:val="left"/>
      <w:pPr>
        <w:ind w:left="5040" w:hanging="360"/>
      </w:pPr>
    </w:lvl>
    <w:lvl w:ilvl="7" w:tplc="DB1C4C48" w:tentative="1">
      <w:start w:val="1"/>
      <w:numFmt w:val="lowerLetter"/>
      <w:lvlText w:val="%8."/>
      <w:lvlJc w:val="left"/>
      <w:pPr>
        <w:ind w:left="5760" w:hanging="360"/>
      </w:pPr>
    </w:lvl>
    <w:lvl w:ilvl="8" w:tplc="F6AA8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77423"/>
    <w:multiLevelType w:val="hybridMultilevel"/>
    <w:tmpl w:val="7146F306"/>
    <w:lvl w:ilvl="0" w:tplc="C3505E26">
      <w:start w:val="1"/>
      <w:numFmt w:val="lowerLetter"/>
      <w:lvlText w:val=""/>
      <w:lvlJc w:val="left"/>
    </w:lvl>
    <w:lvl w:ilvl="1" w:tplc="6736EAE6">
      <w:numFmt w:val="decimal"/>
      <w:lvlText w:val=""/>
      <w:lvlJc w:val="left"/>
    </w:lvl>
    <w:lvl w:ilvl="2" w:tplc="3668A476">
      <w:numFmt w:val="decimal"/>
      <w:lvlText w:val=""/>
      <w:lvlJc w:val="left"/>
    </w:lvl>
    <w:lvl w:ilvl="3" w:tplc="D53E3032">
      <w:numFmt w:val="decimal"/>
      <w:lvlText w:val=""/>
      <w:lvlJc w:val="left"/>
    </w:lvl>
    <w:lvl w:ilvl="4" w:tplc="5D02857A">
      <w:numFmt w:val="decimal"/>
      <w:lvlText w:val=""/>
      <w:lvlJc w:val="left"/>
    </w:lvl>
    <w:lvl w:ilvl="5" w:tplc="0BCCF7F0">
      <w:numFmt w:val="decimal"/>
      <w:lvlText w:val=""/>
      <w:lvlJc w:val="left"/>
    </w:lvl>
    <w:lvl w:ilvl="6" w:tplc="4080E578">
      <w:numFmt w:val="decimal"/>
      <w:lvlText w:val=""/>
      <w:lvlJc w:val="left"/>
    </w:lvl>
    <w:lvl w:ilvl="7" w:tplc="EDF6A2AC">
      <w:numFmt w:val="decimal"/>
      <w:lvlText w:val=""/>
      <w:lvlJc w:val="left"/>
    </w:lvl>
    <w:lvl w:ilvl="8" w:tplc="224AFB70">
      <w:numFmt w:val="decimal"/>
      <w:lvlText w:val=""/>
      <w:lvlJc w:val="left"/>
    </w:lvl>
  </w:abstractNum>
  <w:num w:numId="1" w16cid:durableId="2006128031">
    <w:abstractNumId w:val="2"/>
  </w:num>
  <w:num w:numId="2" w16cid:durableId="17322351">
    <w:abstractNumId w:val="0"/>
  </w:num>
  <w:num w:numId="3" w16cid:durableId="322590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FC"/>
    <w:rsid w:val="00023B62"/>
    <w:rsid w:val="000F7644"/>
    <w:rsid w:val="001228FC"/>
    <w:rsid w:val="0013316C"/>
    <w:rsid w:val="00177658"/>
    <w:rsid w:val="001A24CB"/>
    <w:rsid w:val="001E4983"/>
    <w:rsid w:val="002113A9"/>
    <w:rsid w:val="00223F23"/>
    <w:rsid w:val="002317E8"/>
    <w:rsid w:val="002605F7"/>
    <w:rsid w:val="0027687E"/>
    <w:rsid w:val="002B1662"/>
    <w:rsid w:val="002C0936"/>
    <w:rsid w:val="00333D0E"/>
    <w:rsid w:val="00340B29"/>
    <w:rsid w:val="0034237B"/>
    <w:rsid w:val="003547C8"/>
    <w:rsid w:val="00381AD2"/>
    <w:rsid w:val="0039484F"/>
    <w:rsid w:val="00397CAD"/>
    <w:rsid w:val="003D3EF5"/>
    <w:rsid w:val="003E4168"/>
    <w:rsid w:val="003F590C"/>
    <w:rsid w:val="00406654"/>
    <w:rsid w:val="0041741E"/>
    <w:rsid w:val="00437CDD"/>
    <w:rsid w:val="0046277C"/>
    <w:rsid w:val="00476E84"/>
    <w:rsid w:val="004A0A2A"/>
    <w:rsid w:val="004A677D"/>
    <w:rsid w:val="004D769B"/>
    <w:rsid w:val="004E59A5"/>
    <w:rsid w:val="004E6428"/>
    <w:rsid w:val="00533A19"/>
    <w:rsid w:val="00535328"/>
    <w:rsid w:val="00545207"/>
    <w:rsid w:val="005544E4"/>
    <w:rsid w:val="0056019D"/>
    <w:rsid w:val="00574AB8"/>
    <w:rsid w:val="00590CF2"/>
    <w:rsid w:val="00596A91"/>
    <w:rsid w:val="005B27D4"/>
    <w:rsid w:val="00654E03"/>
    <w:rsid w:val="006568DB"/>
    <w:rsid w:val="0065760C"/>
    <w:rsid w:val="006706B6"/>
    <w:rsid w:val="0068377C"/>
    <w:rsid w:val="006A196A"/>
    <w:rsid w:val="006C5650"/>
    <w:rsid w:val="006F4F34"/>
    <w:rsid w:val="00702200"/>
    <w:rsid w:val="007061A0"/>
    <w:rsid w:val="00723C91"/>
    <w:rsid w:val="007350DC"/>
    <w:rsid w:val="00741975"/>
    <w:rsid w:val="00762D20"/>
    <w:rsid w:val="007750BA"/>
    <w:rsid w:val="007A198C"/>
    <w:rsid w:val="007B3884"/>
    <w:rsid w:val="007C1407"/>
    <w:rsid w:val="0081084E"/>
    <w:rsid w:val="008A2845"/>
    <w:rsid w:val="008F4069"/>
    <w:rsid w:val="009158EF"/>
    <w:rsid w:val="009275A1"/>
    <w:rsid w:val="00953958"/>
    <w:rsid w:val="00956F2E"/>
    <w:rsid w:val="009B7A1E"/>
    <w:rsid w:val="009C3D3C"/>
    <w:rsid w:val="009C7249"/>
    <w:rsid w:val="009D4E7E"/>
    <w:rsid w:val="009E7E44"/>
    <w:rsid w:val="00A11B44"/>
    <w:rsid w:val="00A47F9C"/>
    <w:rsid w:val="00A81AD8"/>
    <w:rsid w:val="00AA3E7B"/>
    <w:rsid w:val="00AA7917"/>
    <w:rsid w:val="00AF72AC"/>
    <w:rsid w:val="00B201E2"/>
    <w:rsid w:val="00B550FC"/>
    <w:rsid w:val="00BD0DA5"/>
    <w:rsid w:val="00BD51CB"/>
    <w:rsid w:val="00BD5917"/>
    <w:rsid w:val="00BD723C"/>
    <w:rsid w:val="00C01940"/>
    <w:rsid w:val="00C814E3"/>
    <w:rsid w:val="00CB07EF"/>
    <w:rsid w:val="00CB4FE3"/>
    <w:rsid w:val="00CF63E4"/>
    <w:rsid w:val="00D13D77"/>
    <w:rsid w:val="00D428B3"/>
    <w:rsid w:val="00D64EB3"/>
    <w:rsid w:val="00D80EB3"/>
    <w:rsid w:val="00DC0EDC"/>
    <w:rsid w:val="00DC3890"/>
    <w:rsid w:val="00E33B44"/>
    <w:rsid w:val="00E671C2"/>
    <w:rsid w:val="00E917BE"/>
    <w:rsid w:val="00EC4B9E"/>
    <w:rsid w:val="00ED33D3"/>
    <w:rsid w:val="00F14CBE"/>
    <w:rsid w:val="00F54E33"/>
    <w:rsid w:val="00F93882"/>
    <w:rsid w:val="106D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B04278"/>
  <w15:docId w15:val="{78BE9F84-68C7-409D-9D11-24D20E47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link w:val="Nagwek2Znak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link w:val="Nagwek3Znak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link w:val="Nagwek4Znak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link w:val="Nagwek5Znak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link w:val="Nagwek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link w:val="Nagwek7Znak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link w:val="Nagwek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link w:val="Nagwek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Nagwek1Znak">
    <w:name w:val="Nagłówek 1 Znak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Podtytu">
    <w:name w:val="Subtitle"/>
    <w:link w:val="PodtytuZnak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uiPriority w:val="20"/>
    <w:qFormat/>
    <w:rPr>
      <w:i/>
      <w:iCs/>
    </w:rPr>
  </w:style>
  <w:style w:type="character" w:styleId="Wyrnienieintensywne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uiPriority w:val="22"/>
    <w:qFormat/>
    <w:rPr>
      <w:b/>
      <w:bCs/>
    </w:rPr>
  </w:style>
  <w:style w:type="paragraph" w:styleId="Cytat">
    <w:name w:val="Quote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Tekstprzypisukocowego">
    <w:name w:val="endnote text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paragraph" w:styleId="Zwykytekst">
    <w:name w:val="Plain Text"/>
    <w:link w:val="ZwykytekstZnak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Hps">
    <w:name w:val="Hps"/>
    <w:basedOn w:val="Domylnaczcionkaakapitu"/>
    <w:uiPriority w:val="99"/>
  </w:style>
  <w:style w:type="character" w:customStyle="1" w:styleId="Shorttext">
    <w:name w:val="Short_text"/>
    <w:basedOn w:val="Domylnaczcionkaakapitu"/>
    <w:uiPriority w:val="99"/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Poprawka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5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49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28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1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3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9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71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18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566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67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7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5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59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9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5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35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05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03269-1F8B-4B44-ACF0-E4702087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716</Words>
  <Characters>4302</Characters>
  <Application>Microsoft Office Word</Application>
  <DocSecurity>0</DocSecurity>
  <Lines>35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Tomasz Jędrzejewski</cp:lastModifiedBy>
  <cp:revision>3</cp:revision>
  <dcterms:created xsi:type="dcterms:W3CDTF">2022-07-12T12:00:00Z</dcterms:created>
  <dcterms:modified xsi:type="dcterms:W3CDTF">2022-07-12T12:15:00Z</dcterms:modified>
</cp:coreProperties>
</file>