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14"/>
        <w:gridCol w:w="4815"/>
      </w:tblGrid>
      <w:tr w:rsidR="00233B80" w:rsidRPr="00FC5185">
        <w:tc>
          <w:tcPr>
            <w:tcW w:w="4814" w:type="dxa"/>
          </w:tcPr>
          <w:p w:rsidR="00233B80" w:rsidRPr="00FC5185" w:rsidRDefault="002F3199" w:rsidP="00FC5185">
            <w:pPr>
              <w:spacing w:after="0" w:line="360" w:lineRule="auto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FC5185">
              <w:rPr>
                <w:rFonts w:asciiTheme="minorHAnsi" w:hAnsiTheme="minorHAnsi"/>
                <w:b/>
                <w:noProof/>
                <w:color w:val="000000" w:themeColor="text1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1600200" cy="72390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233B80" w:rsidRPr="00FC5185" w:rsidRDefault="002F3199" w:rsidP="00FC5185">
            <w:pPr>
              <w:spacing w:after="0" w:line="360" w:lineRule="auto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pl-PL"/>
              </w:rPr>
            </w:pPr>
            <w:r w:rsidRPr="00FC5185">
              <w:rPr>
                <w:rFonts w:asciiTheme="minorHAnsi" w:hAnsiTheme="minorHAnsi"/>
                <w:b/>
                <w:noProof/>
                <w:color w:val="000000" w:themeColor="text1"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1057275" cy="676275"/>
                  <wp:effectExtent l="0" t="0" r="9525" b="952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CC9" w:rsidRPr="00FC5185" w:rsidRDefault="00227740" w:rsidP="00FC5185">
      <w:pPr>
        <w:spacing w:line="360" w:lineRule="auto"/>
        <w:jc w:val="center"/>
        <w:rPr>
          <w:rFonts w:asciiTheme="minorHAnsi" w:hAnsiTheme="minorHAnsi"/>
          <w:b/>
          <w:bCs/>
          <w:noProof/>
          <w:color w:val="000000" w:themeColor="text1"/>
          <w:sz w:val="28"/>
          <w:szCs w:val="28"/>
          <w:lang w:val="pl-PL" w:eastAsia="pl-PL"/>
        </w:rPr>
      </w:pPr>
      <w:r>
        <w:rPr>
          <w:rFonts w:asciiTheme="minorHAnsi" w:hAnsiTheme="minorHAnsi"/>
          <w:b/>
          <w:bCs/>
          <w:noProof/>
          <w:color w:val="000000" w:themeColor="text1"/>
          <w:sz w:val="28"/>
          <w:szCs w:val="28"/>
          <w:lang w:val="pl-PL" w:eastAsia="pl-PL"/>
        </w:rPr>
      </w:r>
      <w:r>
        <w:rPr>
          <w:rFonts w:asciiTheme="minorHAnsi" w:hAnsiTheme="minorHAnsi"/>
          <w:b/>
          <w:bCs/>
          <w:noProof/>
          <w:color w:val="000000" w:themeColor="text1"/>
          <w:sz w:val="28"/>
          <w:szCs w:val="28"/>
          <w:lang w:val="pl-PL" w:eastAsia="pl-PL"/>
        </w:rPr>
        <w:pict>
          <v:rect id="Прямоугольник 3" o:spid="_x0000_s1026" alt="mailbox://D:/ThunderbirdPortable/Data/profile/Mail/mail.cpe.gov.pl/Sent?number=1701390134&amp;part=1.5&amp;type=image/png&amp;filename=logo%20PlByUa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5185" w:rsidRPr="00FC5185" w:rsidRDefault="00FC5185" w:rsidP="00FC5185">
      <w:pPr>
        <w:spacing w:line="360" w:lineRule="auto"/>
        <w:contextualSpacing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</w:p>
    <w:p w:rsidR="004D3A51" w:rsidRPr="00FC5185" w:rsidRDefault="00FC5185" w:rsidP="00FC5185">
      <w:pPr>
        <w:spacing w:line="360" w:lineRule="auto"/>
        <w:contextualSpacing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CROSS</w:t>
      </w:r>
      <w:r w:rsidR="004D3A51"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-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BORDER</w:t>
      </w:r>
      <w:r w:rsidR="004D3A51"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 xml:space="preserve"> C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OOPERATION</w:t>
      </w:r>
      <w:r w:rsidR="004D3A51"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PROGRAMME</w:t>
      </w:r>
    </w:p>
    <w:p w:rsidR="004D3A51" w:rsidRPr="00FC5185" w:rsidRDefault="00FC5185" w:rsidP="00FC5185">
      <w:pPr>
        <w:spacing w:line="360" w:lineRule="auto"/>
        <w:contextualSpacing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POLAND-BELARUS-UKRAINE</w:t>
      </w:r>
      <w:r w:rsidR="004D3A51"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 xml:space="preserve"> 2014-2020</w:t>
      </w:r>
    </w:p>
    <w:p w:rsidR="00233B80" w:rsidRPr="00FC5185" w:rsidRDefault="004D3A51" w:rsidP="00FC5185">
      <w:pPr>
        <w:spacing w:line="360" w:lineRule="auto"/>
        <w:contextualSpacing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and</w:t>
      </w:r>
    </w:p>
    <w:p w:rsidR="006B3140" w:rsidRPr="00FC5185" w:rsidRDefault="006B3140" w:rsidP="00FC5185">
      <w:pPr>
        <w:spacing w:after="0" w:line="360" w:lineRule="auto"/>
        <w:contextualSpacing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State Higher School of Technology and Economics in Jarosław</w:t>
      </w:r>
    </w:p>
    <w:p w:rsidR="00233B80" w:rsidRPr="00FC5185" w:rsidRDefault="00233B80" w:rsidP="00FC5185">
      <w:pPr>
        <w:spacing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</w:p>
    <w:p w:rsidR="006B3140" w:rsidRPr="00F45225" w:rsidRDefault="006B3140" w:rsidP="00FC5185">
      <w:pPr>
        <w:spacing w:after="0" w:line="360" w:lineRule="auto"/>
        <w:jc w:val="center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in cooperation with</w:t>
      </w:r>
      <w:r w:rsidR="005843CE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:</w:t>
      </w:r>
    </w:p>
    <w:p w:rsidR="006B3140" w:rsidRPr="00F45225" w:rsidRDefault="006B3140" w:rsidP="00FC5185">
      <w:pPr>
        <w:spacing w:after="0" w:line="360" w:lineRule="auto"/>
        <w:jc w:val="center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Ivan Franko National University of Lviv</w:t>
      </w:r>
    </w:p>
    <w:p w:rsidR="006B3140" w:rsidRPr="00F45225" w:rsidRDefault="006B3140" w:rsidP="00FC5185">
      <w:pPr>
        <w:spacing w:after="0" w:line="360" w:lineRule="auto"/>
        <w:jc w:val="center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Rzeszów University of Technology</w:t>
      </w:r>
    </w:p>
    <w:p w:rsidR="004D3A51" w:rsidRPr="00F45225" w:rsidRDefault="004D3A51" w:rsidP="00FC5185">
      <w:pPr>
        <w:spacing w:after="0" w:line="360" w:lineRule="auto"/>
        <w:jc w:val="center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Institute of Modern Knowledge</w:t>
      </w:r>
      <w:r w:rsidR="005843CE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 xml:space="preserve"> in Minsk</w:t>
      </w:r>
    </w:p>
    <w:p w:rsidR="007E04B7" w:rsidRPr="00F45225" w:rsidRDefault="005843CE" w:rsidP="00FC5185">
      <w:pPr>
        <w:spacing w:after="0" w:line="360" w:lineRule="auto"/>
        <w:jc w:val="center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also</w:t>
      </w:r>
    </w:p>
    <w:p w:rsidR="00233B80" w:rsidRPr="00F45225" w:rsidRDefault="004D3A51" w:rsidP="00FC5185">
      <w:pPr>
        <w:spacing w:after="0" w:line="360" w:lineRule="auto"/>
        <w:jc w:val="center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Institute for Regional Research of the National Academy of Sciences of Ukraine</w:t>
      </w:r>
    </w:p>
    <w:p w:rsidR="004D3A51" w:rsidRPr="00FC5185" w:rsidRDefault="004D3A51" w:rsidP="00FC5185">
      <w:pPr>
        <w:spacing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</w:p>
    <w:p w:rsidR="005843CE" w:rsidRPr="00FC5185" w:rsidRDefault="005843CE" w:rsidP="00FC5185">
      <w:pPr>
        <w:spacing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INVITE YOU</w:t>
      </w:r>
    </w:p>
    <w:p w:rsidR="005843CE" w:rsidRPr="00FC5185" w:rsidRDefault="005843CE" w:rsidP="00FC5185">
      <w:pPr>
        <w:spacing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to take part in the scientific conference</w:t>
      </w:r>
    </w:p>
    <w:p w:rsidR="00233B80" w:rsidRPr="00FC5185" w:rsidRDefault="00233B80" w:rsidP="00FC5185">
      <w:pPr>
        <w:spacing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</w:p>
    <w:p w:rsidR="005843CE" w:rsidRPr="00FC5185" w:rsidRDefault="005843CE" w:rsidP="00FC5185">
      <w:pPr>
        <w:spacing w:line="360" w:lineRule="auto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color w:val="000000" w:themeColor="text1"/>
          <w:sz w:val="28"/>
          <w:szCs w:val="28"/>
          <w:lang w:val="en-GB"/>
        </w:rPr>
        <w:t xml:space="preserve">„CROSS-BORDER HERITAGE AS A BASIS </w:t>
      </w:r>
    </w:p>
    <w:p w:rsidR="005843CE" w:rsidRPr="00FC5185" w:rsidRDefault="00FC5185" w:rsidP="00FC5185">
      <w:pPr>
        <w:spacing w:line="360" w:lineRule="auto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GB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lang w:val="en-GB"/>
        </w:rPr>
        <w:t>OF POLISH-BELARU</w:t>
      </w:r>
      <w:r w:rsidR="005843CE" w:rsidRPr="00FC5185">
        <w:rPr>
          <w:rFonts w:asciiTheme="minorHAnsi" w:hAnsiTheme="minorHAnsi"/>
          <w:b/>
          <w:color w:val="000000" w:themeColor="text1"/>
          <w:sz w:val="28"/>
          <w:szCs w:val="28"/>
          <w:lang w:val="en-GB"/>
        </w:rPr>
        <w:t>SIAN-UKRAINIAN COOPERATION”</w:t>
      </w:r>
    </w:p>
    <w:p w:rsidR="00FC5185" w:rsidRPr="00FC5185" w:rsidRDefault="00FC5185" w:rsidP="00FC5185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GB"/>
        </w:rPr>
      </w:pPr>
    </w:p>
    <w:p w:rsidR="005843CE" w:rsidRPr="00F45225" w:rsidRDefault="005843CE" w:rsidP="00FC5185">
      <w:pPr>
        <w:spacing w:line="360" w:lineRule="auto"/>
        <w:jc w:val="center"/>
        <w:rPr>
          <w:rFonts w:asciiTheme="minorHAnsi" w:hAnsiTheme="minorHAnsi"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color w:val="000000" w:themeColor="text1"/>
          <w:sz w:val="28"/>
          <w:szCs w:val="28"/>
          <w:lang w:val="en-GB"/>
        </w:rPr>
        <w:t>Date and venue of the conference</w:t>
      </w:r>
      <w:r w:rsidR="00FC5185" w:rsidRPr="00F45225">
        <w:rPr>
          <w:rFonts w:asciiTheme="minorHAnsi" w:hAnsiTheme="minorHAnsi"/>
          <w:color w:val="000000" w:themeColor="text1"/>
          <w:sz w:val="28"/>
          <w:szCs w:val="28"/>
          <w:lang w:val="en-GB"/>
        </w:rPr>
        <w:t>:</w:t>
      </w:r>
    </w:p>
    <w:p w:rsidR="00FC5185" w:rsidRPr="00FC5185" w:rsidRDefault="00FC5185" w:rsidP="00FC5185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14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-16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 xml:space="preserve"> November 2018</w:t>
      </w:r>
    </w:p>
    <w:p w:rsidR="007E04B7" w:rsidRPr="00FC5185" w:rsidRDefault="00FC5185" w:rsidP="00FC5185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State Higher School of Technology and Economics in Jarosław</w:t>
      </w:r>
    </w:p>
    <w:p w:rsidR="005843CE" w:rsidRPr="00F45225" w:rsidRDefault="005843CE" w:rsidP="00FC5185">
      <w:pPr>
        <w:spacing w:after="0" w:line="360" w:lineRule="auto"/>
        <w:jc w:val="center"/>
        <w:rPr>
          <w:rFonts w:asciiTheme="minorHAnsi" w:hAnsiTheme="minorHAnsi"/>
          <w:color w:val="000000" w:themeColor="text1"/>
          <w:sz w:val="28"/>
          <w:szCs w:val="28"/>
          <w:lang w:val="pl-PL"/>
        </w:rPr>
      </w:pPr>
      <w:r w:rsidRPr="00F45225">
        <w:rPr>
          <w:rFonts w:asciiTheme="minorHAnsi" w:hAnsiTheme="minorHAnsi"/>
          <w:color w:val="000000" w:themeColor="text1"/>
          <w:sz w:val="28"/>
          <w:szCs w:val="28"/>
          <w:lang w:val="pl-PL"/>
        </w:rPr>
        <w:lastRenderedPageBreak/>
        <w:t>Topics of the conference:</w:t>
      </w:r>
    </w:p>
    <w:p w:rsidR="00233B80" w:rsidRPr="00F45225" w:rsidRDefault="00233B80" w:rsidP="00FC5185">
      <w:pPr>
        <w:spacing w:after="0" w:line="360" w:lineRule="auto"/>
        <w:jc w:val="center"/>
        <w:rPr>
          <w:rFonts w:asciiTheme="minorHAnsi" w:hAnsiTheme="minorHAnsi"/>
          <w:color w:val="000000" w:themeColor="text1"/>
          <w:sz w:val="28"/>
          <w:szCs w:val="28"/>
          <w:lang w:val="pl-PL"/>
        </w:rPr>
      </w:pPr>
    </w:p>
    <w:p w:rsidR="005843CE" w:rsidRPr="00F45225" w:rsidRDefault="005843CE" w:rsidP="00FC518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i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iCs/>
          <w:color w:val="000000" w:themeColor="text1"/>
          <w:sz w:val="28"/>
          <w:szCs w:val="28"/>
          <w:lang w:val="en-GB"/>
        </w:rPr>
        <w:t>Conservation of natural heritage across borders</w:t>
      </w:r>
    </w:p>
    <w:p w:rsidR="005843CE" w:rsidRPr="00F45225" w:rsidRDefault="005843CE" w:rsidP="00FC518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iCs/>
          <w:color w:val="000000" w:themeColor="text1"/>
          <w:sz w:val="28"/>
          <w:szCs w:val="28"/>
          <w:lang w:val="en-US"/>
        </w:rPr>
      </w:pPr>
      <w:r w:rsidRPr="00F45225">
        <w:rPr>
          <w:rFonts w:asciiTheme="minorHAnsi" w:hAnsiTheme="minorHAnsi"/>
          <w:iCs/>
          <w:color w:val="000000" w:themeColor="text1"/>
          <w:sz w:val="28"/>
          <w:szCs w:val="28"/>
          <w:lang w:val="en-US"/>
        </w:rPr>
        <w:t>Promotion of immaterial cultural heritage</w:t>
      </w:r>
    </w:p>
    <w:p w:rsidR="005843CE" w:rsidRPr="00F45225" w:rsidRDefault="005843CE" w:rsidP="00FC5185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i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iCs/>
          <w:color w:val="000000" w:themeColor="text1"/>
          <w:sz w:val="28"/>
          <w:szCs w:val="28"/>
          <w:lang w:val="en-GB"/>
        </w:rPr>
        <w:t>Heritage as an opportunity for mutual development</w:t>
      </w:r>
    </w:p>
    <w:p w:rsidR="001A3177" w:rsidRPr="00FC5185" w:rsidRDefault="001A3177" w:rsidP="00FC5185">
      <w:pPr>
        <w:spacing w:after="0" w:line="360" w:lineRule="auto"/>
        <w:rPr>
          <w:rFonts w:asciiTheme="minorHAnsi" w:hAnsiTheme="minorHAnsi"/>
          <w:b/>
          <w:iCs/>
          <w:color w:val="000000" w:themeColor="text1"/>
          <w:sz w:val="28"/>
          <w:szCs w:val="28"/>
          <w:lang w:val="en-GB"/>
        </w:rPr>
      </w:pPr>
    </w:p>
    <w:p w:rsidR="005843CE" w:rsidRPr="00FC5185" w:rsidRDefault="005843CE" w:rsidP="00FC5185">
      <w:pPr>
        <w:spacing w:before="120" w:after="120" w:line="360" w:lineRule="auto"/>
        <w:jc w:val="both"/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</w:pPr>
      <w:r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To take</w:t>
      </w:r>
      <w:r w:rsidR="00687957"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 xml:space="preserve"> part in the conference, the applica</w:t>
      </w:r>
      <w:r w:rsidR="001A0F56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>tion form must be e-mailed by 30</w:t>
      </w:r>
      <w:r w:rsidR="00687957" w:rsidRPr="00FC5185">
        <w:rPr>
          <w:rFonts w:asciiTheme="minorHAnsi" w:hAnsiTheme="minorHAnsi"/>
          <w:b/>
          <w:bCs/>
          <w:color w:val="000000" w:themeColor="text1"/>
          <w:sz w:val="28"/>
          <w:szCs w:val="28"/>
          <w:lang w:val="en-GB"/>
        </w:rPr>
        <w:t xml:space="preserve">th March 2018. It must contain a title and an abstract (up to 1000 letters) in your national language as well as in English. The application must be sent to the following e-mail: </w:t>
      </w:r>
      <w:hyperlink r:id="rId9" w:history="1">
        <w:r w:rsidR="0010718E" w:rsidRPr="00FC5185">
          <w:rPr>
            <w:rStyle w:val="Hipercze"/>
            <w:rFonts w:asciiTheme="minorHAnsi" w:hAnsiTheme="minorHAnsi"/>
            <w:b/>
            <w:color w:val="000000" w:themeColor="text1"/>
            <w:sz w:val="28"/>
            <w:szCs w:val="28"/>
            <w:lang w:val="en-GB"/>
          </w:rPr>
          <w:t>anna.brodniewicz@pbu2020.eu</w:t>
        </w:r>
      </w:hyperlink>
    </w:p>
    <w:p w:rsidR="00687957" w:rsidRPr="00F45225" w:rsidRDefault="00687957" w:rsidP="00FC5185">
      <w:pPr>
        <w:spacing w:before="120" w:after="120" w:line="360" w:lineRule="auto"/>
        <w:jc w:val="both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</w:p>
    <w:p w:rsidR="00687957" w:rsidRPr="00F45225" w:rsidRDefault="00687957" w:rsidP="00FC5185">
      <w:pPr>
        <w:spacing w:before="120" w:after="120" w:line="360" w:lineRule="auto"/>
        <w:jc w:val="both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 xml:space="preserve">The participants will be given detailed information concerning organizational issues. </w:t>
      </w:r>
      <w:r w:rsidR="0010718E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The o</w:t>
      </w: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 xml:space="preserve">rganizational </w:t>
      </w:r>
      <w:r w:rsidR="0010718E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committee reserves the right to</w:t>
      </w: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 xml:space="preserve"> cho</w:t>
      </w:r>
      <w:r w:rsidR="0010718E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o</w:t>
      </w: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se</w:t>
      </w:r>
      <w:r w:rsidR="0010718E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 xml:space="preserve"> the articles. The subjects and the content of the articles which do not correspond with</w:t>
      </w:r>
      <w:r w:rsidR="000E5CB5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 xml:space="preserve"> the main topics of the conference will not be considered.</w:t>
      </w:r>
    </w:p>
    <w:p w:rsidR="000E5CB5" w:rsidRPr="00F45225" w:rsidRDefault="000E5CB5" w:rsidP="00FC5185">
      <w:pPr>
        <w:spacing w:before="120" w:after="120" w:line="360" w:lineRule="auto"/>
        <w:jc w:val="both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The entirety of articles will be made available in a post-conference publication.</w:t>
      </w:r>
    </w:p>
    <w:p w:rsidR="000E5CB5" w:rsidRPr="00F45225" w:rsidRDefault="00FC5185" w:rsidP="00FC5185">
      <w:pPr>
        <w:spacing w:before="120" w:after="120" w:line="360" w:lineRule="auto"/>
        <w:jc w:val="both"/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The authors will not be remun</w:t>
      </w:r>
      <w:r w:rsidR="000E5CB5"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erated for the submitted and published articles.</w:t>
      </w:r>
    </w:p>
    <w:p w:rsidR="00233B80" w:rsidRPr="00F45225" w:rsidRDefault="000E5CB5" w:rsidP="002C0505">
      <w:pPr>
        <w:spacing w:before="120" w:after="120" w:line="360" w:lineRule="auto"/>
        <w:jc w:val="both"/>
        <w:rPr>
          <w:rFonts w:asciiTheme="minorHAnsi" w:hAnsiTheme="minorHAnsi"/>
          <w:color w:val="000000" w:themeColor="text1"/>
          <w:sz w:val="28"/>
          <w:szCs w:val="28"/>
          <w:lang w:val="en-GB"/>
        </w:rPr>
      </w:pPr>
      <w:r w:rsidRPr="00F45225">
        <w:rPr>
          <w:rFonts w:asciiTheme="minorHAnsi" w:hAnsiTheme="minorHAnsi"/>
          <w:bCs/>
          <w:color w:val="000000" w:themeColor="text1"/>
          <w:sz w:val="28"/>
          <w:szCs w:val="28"/>
          <w:lang w:val="en-GB"/>
        </w:rPr>
        <w:t>Working languages of the conference: English, Polish, Ukrainian and Russian.</w:t>
      </w:r>
    </w:p>
    <w:sectPr w:rsidR="00233B80" w:rsidRPr="00F45225" w:rsidSect="00356469">
      <w:pgSz w:w="11906" w:h="16838"/>
      <w:pgMar w:top="1843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F9" w:rsidRDefault="006F52F9" w:rsidP="00866D3A">
      <w:pPr>
        <w:spacing w:after="0" w:line="240" w:lineRule="auto"/>
      </w:pPr>
      <w:r>
        <w:separator/>
      </w:r>
    </w:p>
  </w:endnote>
  <w:endnote w:type="continuationSeparator" w:id="0">
    <w:p w:rsidR="006F52F9" w:rsidRDefault="006F52F9" w:rsidP="0086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F9" w:rsidRDefault="006F52F9" w:rsidP="00866D3A">
      <w:pPr>
        <w:spacing w:after="0" w:line="240" w:lineRule="auto"/>
      </w:pPr>
      <w:r>
        <w:separator/>
      </w:r>
    </w:p>
  </w:footnote>
  <w:footnote w:type="continuationSeparator" w:id="0">
    <w:p w:rsidR="006F52F9" w:rsidRDefault="006F52F9" w:rsidP="0086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D05"/>
    <w:multiLevelType w:val="hybridMultilevel"/>
    <w:tmpl w:val="4F92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75BA"/>
    <w:multiLevelType w:val="hybridMultilevel"/>
    <w:tmpl w:val="7EC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F2AF0"/>
    <w:multiLevelType w:val="hybridMultilevel"/>
    <w:tmpl w:val="2A46425A"/>
    <w:lvl w:ilvl="0" w:tplc="D68A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D00705"/>
    <w:multiLevelType w:val="hybridMultilevel"/>
    <w:tmpl w:val="A704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24663"/>
    <w:multiLevelType w:val="hybridMultilevel"/>
    <w:tmpl w:val="F092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2BF9"/>
    <w:rsid w:val="00007E25"/>
    <w:rsid w:val="000113B1"/>
    <w:rsid w:val="00051171"/>
    <w:rsid w:val="00066CCE"/>
    <w:rsid w:val="00077859"/>
    <w:rsid w:val="00081768"/>
    <w:rsid w:val="00085032"/>
    <w:rsid w:val="00095F2F"/>
    <w:rsid w:val="000E5CB5"/>
    <w:rsid w:val="0010718E"/>
    <w:rsid w:val="0012464E"/>
    <w:rsid w:val="00142D68"/>
    <w:rsid w:val="0019022C"/>
    <w:rsid w:val="001A0F56"/>
    <w:rsid w:val="001A3177"/>
    <w:rsid w:val="001C0E75"/>
    <w:rsid w:val="001C3B0D"/>
    <w:rsid w:val="001C6715"/>
    <w:rsid w:val="001E0338"/>
    <w:rsid w:val="002216C1"/>
    <w:rsid w:val="00227740"/>
    <w:rsid w:val="0023141D"/>
    <w:rsid w:val="00233B80"/>
    <w:rsid w:val="00245A78"/>
    <w:rsid w:val="00284EDB"/>
    <w:rsid w:val="00290E9F"/>
    <w:rsid w:val="002C0505"/>
    <w:rsid w:val="002E1154"/>
    <w:rsid w:val="002F3199"/>
    <w:rsid w:val="003147E7"/>
    <w:rsid w:val="00315052"/>
    <w:rsid w:val="00325AEB"/>
    <w:rsid w:val="00356469"/>
    <w:rsid w:val="00362473"/>
    <w:rsid w:val="00374E5C"/>
    <w:rsid w:val="003807D8"/>
    <w:rsid w:val="003914C2"/>
    <w:rsid w:val="003A5950"/>
    <w:rsid w:val="003A5A29"/>
    <w:rsid w:val="003B1C58"/>
    <w:rsid w:val="003D0071"/>
    <w:rsid w:val="00442172"/>
    <w:rsid w:val="004642EF"/>
    <w:rsid w:val="0047182A"/>
    <w:rsid w:val="004B4BE7"/>
    <w:rsid w:val="004B52EC"/>
    <w:rsid w:val="004C7359"/>
    <w:rsid w:val="004D3A51"/>
    <w:rsid w:val="00551FA2"/>
    <w:rsid w:val="00562992"/>
    <w:rsid w:val="005733C8"/>
    <w:rsid w:val="005843CE"/>
    <w:rsid w:val="005A2CF3"/>
    <w:rsid w:val="005B1EFC"/>
    <w:rsid w:val="005C0367"/>
    <w:rsid w:val="006060BD"/>
    <w:rsid w:val="00643895"/>
    <w:rsid w:val="00687957"/>
    <w:rsid w:val="006A5B8A"/>
    <w:rsid w:val="006B3140"/>
    <w:rsid w:val="006F52F9"/>
    <w:rsid w:val="00725000"/>
    <w:rsid w:val="00733A87"/>
    <w:rsid w:val="00742785"/>
    <w:rsid w:val="00754A19"/>
    <w:rsid w:val="0077674D"/>
    <w:rsid w:val="00777227"/>
    <w:rsid w:val="00785CC7"/>
    <w:rsid w:val="0079274A"/>
    <w:rsid w:val="007A26A9"/>
    <w:rsid w:val="007C525E"/>
    <w:rsid w:val="007D3FCD"/>
    <w:rsid w:val="007E04B7"/>
    <w:rsid w:val="007E21F7"/>
    <w:rsid w:val="00830412"/>
    <w:rsid w:val="00866D3A"/>
    <w:rsid w:val="00887E85"/>
    <w:rsid w:val="0089178F"/>
    <w:rsid w:val="008D6796"/>
    <w:rsid w:val="008E019B"/>
    <w:rsid w:val="0090795C"/>
    <w:rsid w:val="009637FC"/>
    <w:rsid w:val="009953B8"/>
    <w:rsid w:val="009D23E0"/>
    <w:rsid w:val="009E28D5"/>
    <w:rsid w:val="009F7CDE"/>
    <w:rsid w:val="00A1086A"/>
    <w:rsid w:val="00A150E4"/>
    <w:rsid w:val="00A37CD3"/>
    <w:rsid w:val="00A56CC9"/>
    <w:rsid w:val="00A660C5"/>
    <w:rsid w:val="00A93BE6"/>
    <w:rsid w:val="00AB48FD"/>
    <w:rsid w:val="00AC2BF9"/>
    <w:rsid w:val="00B12573"/>
    <w:rsid w:val="00B3250A"/>
    <w:rsid w:val="00B46B9C"/>
    <w:rsid w:val="00B62E46"/>
    <w:rsid w:val="00B64DC5"/>
    <w:rsid w:val="00B722F4"/>
    <w:rsid w:val="00B77C79"/>
    <w:rsid w:val="00B85BA5"/>
    <w:rsid w:val="00B86BCC"/>
    <w:rsid w:val="00BB5A7A"/>
    <w:rsid w:val="00BF5810"/>
    <w:rsid w:val="00C56FEE"/>
    <w:rsid w:val="00C800A8"/>
    <w:rsid w:val="00CC36B9"/>
    <w:rsid w:val="00D05CF6"/>
    <w:rsid w:val="00D13176"/>
    <w:rsid w:val="00D21149"/>
    <w:rsid w:val="00D2579D"/>
    <w:rsid w:val="00D3685B"/>
    <w:rsid w:val="00D81150"/>
    <w:rsid w:val="00D8618D"/>
    <w:rsid w:val="00D96D41"/>
    <w:rsid w:val="00DA5A1E"/>
    <w:rsid w:val="00DC47B2"/>
    <w:rsid w:val="00E30961"/>
    <w:rsid w:val="00E80BB1"/>
    <w:rsid w:val="00E87EBE"/>
    <w:rsid w:val="00EA4F37"/>
    <w:rsid w:val="00EA60C2"/>
    <w:rsid w:val="00ED6993"/>
    <w:rsid w:val="00F41CEE"/>
    <w:rsid w:val="00F45225"/>
    <w:rsid w:val="00F6145D"/>
    <w:rsid w:val="00FB6FD0"/>
    <w:rsid w:val="00FC5185"/>
    <w:rsid w:val="00FC7AC0"/>
    <w:rsid w:val="00FD5C99"/>
    <w:rsid w:val="00FD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27"/>
    <w:pPr>
      <w:spacing w:after="200" w:line="276" w:lineRule="auto"/>
    </w:pPr>
    <w:rPr>
      <w:rFonts w:cs="Calibri"/>
      <w:lang w:val="uk-UA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7227"/>
    <w:pPr>
      <w:ind w:left="720"/>
    </w:pPr>
  </w:style>
  <w:style w:type="character" w:styleId="Hipercze">
    <w:name w:val="Hyperlink"/>
    <w:basedOn w:val="Domylnaczcionkaakapitu"/>
    <w:uiPriority w:val="99"/>
    <w:rsid w:val="0023141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314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3141D"/>
    <w:rPr>
      <w:rFonts w:ascii="Times New Roman" w:hAnsi="Times New Roman" w:cs="Times New Roman"/>
      <w:sz w:val="20"/>
      <w:szCs w:val="20"/>
      <w:lang w:eastAsia="ru-RU"/>
    </w:rPr>
  </w:style>
  <w:style w:type="character" w:styleId="Odwoanieprzypisudolnego">
    <w:name w:val="footnote reference"/>
    <w:basedOn w:val="Domylnaczcionkaakapitu"/>
    <w:uiPriority w:val="99"/>
    <w:semiHidden/>
    <w:rsid w:val="00866D3A"/>
    <w:rPr>
      <w:vertAlign w:val="superscript"/>
    </w:rPr>
  </w:style>
  <w:style w:type="table" w:styleId="Tabela-Siatka">
    <w:name w:val="Table Grid"/>
    <w:basedOn w:val="Standardowy"/>
    <w:uiPriority w:val="99"/>
    <w:rsid w:val="0077674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E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E01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4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5A78"/>
    <w:rPr>
      <w:rFonts w:cs="Calibri"/>
      <w:lang w:val="uk-UA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4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5A78"/>
    <w:rPr>
      <w:rFonts w:cs="Calibr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brodniewicz@pbu2020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CPE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anna_brodniewicz</cp:lastModifiedBy>
  <cp:revision>4</cp:revision>
  <cp:lastPrinted>2018-03-07T13:56:00Z</cp:lastPrinted>
  <dcterms:created xsi:type="dcterms:W3CDTF">2018-03-14T12:27:00Z</dcterms:created>
  <dcterms:modified xsi:type="dcterms:W3CDTF">2018-03-15T11:18:00Z</dcterms:modified>
</cp:coreProperties>
</file>